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D077B" w14:textId="77777777" w:rsidR="008300FD" w:rsidRDefault="008300FD" w:rsidP="00342926">
      <w:pPr>
        <w:jc w:val="right"/>
        <w:rPr>
          <w:rFonts w:ascii="Times New Roman" w:hAnsi="Times New Roman"/>
          <w:b/>
          <w:color w:val="000000" w:themeColor="text1"/>
          <w:sz w:val="24"/>
          <w:szCs w:val="24"/>
        </w:rPr>
      </w:pPr>
    </w:p>
    <w:p w14:paraId="50147A3F" w14:textId="37F57C44" w:rsidR="00342926" w:rsidRPr="001656A3" w:rsidRDefault="00342926" w:rsidP="00342926">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3CA2A365" w14:textId="77777777" w:rsidR="00342926" w:rsidRPr="001656A3" w:rsidRDefault="00342926" w:rsidP="00342926">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466331BB" w14:textId="77777777" w:rsidR="00342926" w:rsidRPr="00510EB3" w:rsidRDefault="00342926" w:rsidP="00342926">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 xml:space="preserve">Akmeņogļu piegāde Vecumnieku apvienības pārvaldes </w:t>
      </w:r>
      <w:r>
        <w:rPr>
          <w:rFonts w:ascii="Times New Roman" w:hAnsi="Times New Roman"/>
          <w:b/>
          <w:sz w:val="24"/>
          <w:szCs w:val="24"/>
        </w:rPr>
        <w:t xml:space="preserve">Bārbeles, </w:t>
      </w:r>
      <w:r w:rsidRPr="00510EB3">
        <w:rPr>
          <w:rFonts w:ascii="Times New Roman" w:hAnsi="Times New Roman"/>
          <w:b/>
          <w:sz w:val="24"/>
          <w:szCs w:val="24"/>
        </w:rPr>
        <w:t xml:space="preserve">Stelpes </w:t>
      </w:r>
      <w:r>
        <w:rPr>
          <w:rFonts w:ascii="Times New Roman" w:hAnsi="Times New Roman"/>
          <w:b/>
          <w:sz w:val="24"/>
          <w:szCs w:val="24"/>
        </w:rPr>
        <w:t xml:space="preserve">un Valles </w:t>
      </w:r>
      <w:r w:rsidRPr="00510EB3">
        <w:rPr>
          <w:rFonts w:ascii="Times New Roman" w:hAnsi="Times New Roman"/>
          <w:b/>
          <w:sz w:val="24"/>
          <w:szCs w:val="24"/>
        </w:rPr>
        <w:t>pagasta</w:t>
      </w:r>
      <w:r>
        <w:rPr>
          <w:rFonts w:ascii="Times New Roman" w:hAnsi="Times New Roman"/>
          <w:b/>
          <w:sz w:val="24"/>
          <w:szCs w:val="24"/>
        </w:rPr>
        <w:t xml:space="preserve"> </w:t>
      </w:r>
      <w:r w:rsidRPr="00510EB3">
        <w:rPr>
          <w:rFonts w:ascii="Times New Roman" w:hAnsi="Times New Roman"/>
          <w:b/>
          <w:sz w:val="24"/>
          <w:szCs w:val="24"/>
        </w:rPr>
        <w:t>nodaļ</w:t>
      </w:r>
      <w:r>
        <w:rPr>
          <w:rFonts w:ascii="Times New Roman" w:hAnsi="Times New Roman"/>
          <w:b/>
          <w:sz w:val="24"/>
          <w:szCs w:val="24"/>
        </w:rPr>
        <w:t>as</w:t>
      </w:r>
      <w:r w:rsidRPr="00510EB3">
        <w:rPr>
          <w:rFonts w:ascii="Times New Roman" w:hAnsi="Times New Roman"/>
          <w:b/>
          <w:sz w:val="24"/>
          <w:szCs w:val="24"/>
        </w:rPr>
        <w:t xml:space="preserve"> vajadzībām</w:t>
      </w:r>
      <w:r w:rsidRPr="00510EB3">
        <w:rPr>
          <w:rFonts w:ascii="Times New Roman" w:eastAsia="Times New Roman" w:hAnsi="Times New Roman"/>
          <w:b/>
          <w:sz w:val="24"/>
          <w:szCs w:val="24"/>
        </w:rPr>
        <w:t xml:space="preserve"> </w:t>
      </w:r>
    </w:p>
    <w:p w14:paraId="6677BD2E" w14:textId="77777777" w:rsidR="00342926" w:rsidRPr="00510EB3" w:rsidRDefault="00342926" w:rsidP="00342926">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C536DD">
        <w:rPr>
          <w:rFonts w:ascii="Times New Roman" w:hAnsi="Times New Roman"/>
          <w:b/>
          <w:bCs/>
          <w:sz w:val="24"/>
          <w:szCs w:val="24"/>
        </w:rPr>
        <w:t>VAP/2-1/2024/</w:t>
      </w:r>
      <w:r>
        <w:rPr>
          <w:rFonts w:ascii="Times New Roman" w:hAnsi="Times New Roman"/>
          <w:b/>
          <w:bCs/>
          <w:sz w:val="24"/>
          <w:szCs w:val="24"/>
        </w:rPr>
        <w:t>33</w:t>
      </w:r>
    </w:p>
    <w:tbl>
      <w:tblPr>
        <w:tblW w:w="9351" w:type="dxa"/>
        <w:tblInd w:w="-147" w:type="dxa"/>
        <w:tblLook w:val="0000" w:firstRow="0" w:lastRow="0" w:firstColumn="0" w:lastColumn="0" w:noHBand="0" w:noVBand="0"/>
      </w:tblPr>
      <w:tblGrid>
        <w:gridCol w:w="2189"/>
        <w:gridCol w:w="1225"/>
        <w:gridCol w:w="5937"/>
      </w:tblGrid>
      <w:tr w:rsidR="00342926" w14:paraId="404FF864" w14:textId="77777777" w:rsidTr="000932F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1AA17D48" w14:textId="77777777" w:rsidR="00342926" w:rsidRPr="001656A3" w:rsidRDefault="00342926" w:rsidP="000932FA">
            <w:pPr>
              <w:outlineLvl w:val="6"/>
              <w:rPr>
                <w:rFonts w:ascii="Times New Roman" w:hAnsi="Times New Roman"/>
                <w:b/>
                <w:sz w:val="24"/>
              </w:rPr>
            </w:pPr>
            <w:r w:rsidRPr="001656A3">
              <w:rPr>
                <w:rFonts w:ascii="Times New Roman" w:hAnsi="Times New Roman"/>
                <w:b/>
                <w:sz w:val="24"/>
              </w:rPr>
              <w:t>Informācija par pretendentu</w:t>
            </w:r>
          </w:p>
        </w:tc>
      </w:tr>
      <w:tr w:rsidR="00342926" w14:paraId="41178CD2" w14:textId="77777777" w:rsidTr="000932FA">
        <w:trPr>
          <w:cantSplit/>
        </w:trPr>
        <w:tc>
          <w:tcPr>
            <w:tcW w:w="3414" w:type="dxa"/>
            <w:gridSpan w:val="2"/>
            <w:tcBorders>
              <w:top w:val="single" w:sz="4" w:space="0" w:color="auto"/>
            </w:tcBorders>
          </w:tcPr>
          <w:p w14:paraId="56F8E7DF" w14:textId="77777777" w:rsidR="00342926" w:rsidRPr="001656A3" w:rsidRDefault="00342926" w:rsidP="000932FA">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25E44429" w14:textId="77777777" w:rsidR="00342926" w:rsidRPr="001656A3" w:rsidRDefault="00342926" w:rsidP="000932FA">
            <w:pPr>
              <w:spacing w:after="0" w:line="240" w:lineRule="auto"/>
              <w:rPr>
                <w:rFonts w:ascii="Times New Roman" w:hAnsi="Times New Roman"/>
                <w:sz w:val="24"/>
                <w:szCs w:val="24"/>
              </w:rPr>
            </w:pPr>
          </w:p>
        </w:tc>
      </w:tr>
      <w:tr w:rsidR="00342926" w14:paraId="3B6412AC" w14:textId="77777777" w:rsidTr="000932FA">
        <w:trPr>
          <w:cantSplit/>
        </w:trPr>
        <w:tc>
          <w:tcPr>
            <w:tcW w:w="3414" w:type="dxa"/>
            <w:gridSpan w:val="2"/>
          </w:tcPr>
          <w:p w14:paraId="3F822968" w14:textId="77777777" w:rsidR="00342926" w:rsidRPr="001656A3" w:rsidRDefault="00342926" w:rsidP="000932FA">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7F7B61CE" w14:textId="77777777" w:rsidR="00342926" w:rsidRPr="001656A3" w:rsidRDefault="00342926" w:rsidP="000932FA">
            <w:pPr>
              <w:spacing w:after="0" w:line="240" w:lineRule="auto"/>
              <w:rPr>
                <w:rFonts w:ascii="Times New Roman" w:hAnsi="Times New Roman"/>
                <w:sz w:val="24"/>
                <w:szCs w:val="24"/>
              </w:rPr>
            </w:pPr>
          </w:p>
        </w:tc>
      </w:tr>
      <w:tr w:rsidR="00342926" w14:paraId="0991423C" w14:textId="77777777" w:rsidTr="000932FA">
        <w:trPr>
          <w:cantSplit/>
        </w:trPr>
        <w:tc>
          <w:tcPr>
            <w:tcW w:w="3414" w:type="dxa"/>
            <w:gridSpan w:val="2"/>
          </w:tcPr>
          <w:p w14:paraId="092D2DA0"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253BFE23" w14:textId="77777777" w:rsidR="00342926" w:rsidRPr="001656A3" w:rsidRDefault="00342926" w:rsidP="000932FA">
            <w:pPr>
              <w:spacing w:after="0" w:line="240" w:lineRule="auto"/>
              <w:rPr>
                <w:rFonts w:ascii="Times New Roman" w:hAnsi="Times New Roman"/>
                <w:sz w:val="24"/>
                <w:szCs w:val="24"/>
              </w:rPr>
            </w:pPr>
          </w:p>
        </w:tc>
      </w:tr>
      <w:tr w:rsidR="00342926" w14:paraId="503E97BA" w14:textId="77777777" w:rsidTr="000932FA">
        <w:trPr>
          <w:cantSplit/>
        </w:trPr>
        <w:tc>
          <w:tcPr>
            <w:tcW w:w="3414" w:type="dxa"/>
            <w:gridSpan w:val="2"/>
          </w:tcPr>
          <w:p w14:paraId="24A6B025"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29C045B2" w14:textId="77777777" w:rsidR="00342926" w:rsidRPr="001656A3" w:rsidRDefault="00342926" w:rsidP="000932FA">
            <w:pPr>
              <w:spacing w:after="0" w:line="240" w:lineRule="auto"/>
              <w:rPr>
                <w:rFonts w:ascii="Times New Roman" w:hAnsi="Times New Roman"/>
                <w:sz w:val="24"/>
                <w:szCs w:val="24"/>
              </w:rPr>
            </w:pPr>
          </w:p>
        </w:tc>
      </w:tr>
      <w:tr w:rsidR="00342926" w14:paraId="42FAE9BA" w14:textId="77777777" w:rsidTr="000932FA">
        <w:trPr>
          <w:cantSplit/>
        </w:trPr>
        <w:tc>
          <w:tcPr>
            <w:tcW w:w="3414" w:type="dxa"/>
            <w:gridSpan w:val="2"/>
          </w:tcPr>
          <w:p w14:paraId="0C4FA127"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65E5FBD4" w14:textId="77777777" w:rsidR="00342926" w:rsidRPr="001656A3" w:rsidRDefault="00342926" w:rsidP="000932FA">
            <w:pPr>
              <w:spacing w:after="0" w:line="240" w:lineRule="auto"/>
              <w:rPr>
                <w:rFonts w:ascii="Times New Roman" w:hAnsi="Times New Roman"/>
                <w:sz w:val="24"/>
                <w:szCs w:val="24"/>
              </w:rPr>
            </w:pPr>
          </w:p>
        </w:tc>
      </w:tr>
      <w:tr w:rsidR="00342926" w14:paraId="504BE44E" w14:textId="77777777" w:rsidTr="000932FA">
        <w:trPr>
          <w:cantSplit/>
        </w:trPr>
        <w:tc>
          <w:tcPr>
            <w:tcW w:w="3414" w:type="dxa"/>
            <w:gridSpan w:val="2"/>
          </w:tcPr>
          <w:p w14:paraId="2EE56C1F"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3271BC27" w14:textId="77777777" w:rsidR="00342926" w:rsidRPr="001656A3" w:rsidRDefault="00342926" w:rsidP="000932FA">
            <w:pPr>
              <w:spacing w:after="0" w:line="240" w:lineRule="auto"/>
              <w:rPr>
                <w:rFonts w:ascii="Times New Roman" w:hAnsi="Times New Roman"/>
                <w:sz w:val="24"/>
                <w:szCs w:val="24"/>
              </w:rPr>
            </w:pPr>
          </w:p>
        </w:tc>
      </w:tr>
      <w:tr w:rsidR="00342926" w14:paraId="5150ECC4" w14:textId="77777777" w:rsidTr="000932FA">
        <w:trPr>
          <w:cantSplit/>
        </w:trPr>
        <w:tc>
          <w:tcPr>
            <w:tcW w:w="3414" w:type="dxa"/>
            <w:gridSpan w:val="2"/>
          </w:tcPr>
          <w:p w14:paraId="0A8270C3"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492C95F2" w14:textId="77777777" w:rsidR="00342926" w:rsidRDefault="00342926" w:rsidP="000932FA">
            <w:pPr>
              <w:spacing w:after="0" w:line="240" w:lineRule="auto"/>
              <w:rPr>
                <w:rFonts w:ascii="Times New Roman" w:hAnsi="Times New Roman"/>
                <w:sz w:val="24"/>
                <w:szCs w:val="24"/>
              </w:rPr>
            </w:pPr>
          </w:p>
          <w:p w14:paraId="4E814C17" w14:textId="77777777" w:rsidR="00342926" w:rsidRPr="001656A3" w:rsidRDefault="00342926" w:rsidP="000932FA">
            <w:pPr>
              <w:spacing w:after="0" w:line="240" w:lineRule="auto"/>
              <w:rPr>
                <w:rFonts w:ascii="Times New Roman" w:hAnsi="Times New Roman"/>
                <w:sz w:val="24"/>
                <w:szCs w:val="24"/>
              </w:rPr>
            </w:pPr>
          </w:p>
        </w:tc>
      </w:tr>
      <w:tr w:rsidR="00342926" w14:paraId="67DD0176" w14:textId="77777777" w:rsidTr="000932F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897EFF3" w14:textId="77777777" w:rsidR="00342926" w:rsidRPr="001656A3" w:rsidRDefault="00342926" w:rsidP="000932FA">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342926" w14:paraId="54219496" w14:textId="77777777" w:rsidTr="000932FA">
        <w:trPr>
          <w:cantSplit/>
        </w:trPr>
        <w:tc>
          <w:tcPr>
            <w:tcW w:w="2189" w:type="dxa"/>
          </w:tcPr>
          <w:p w14:paraId="248DF0F3"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74614F06" w14:textId="77777777" w:rsidR="00342926" w:rsidRPr="001656A3" w:rsidRDefault="00342926" w:rsidP="000932FA">
            <w:pPr>
              <w:spacing w:after="0" w:line="240" w:lineRule="auto"/>
              <w:rPr>
                <w:rFonts w:ascii="Times New Roman" w:hAnsi="Times New Roman"/>
                <w:sz w:val="24"/>
                <w:szCs w:val="24"/>
              </w:rPr>
            </w:pPr>
          </w:p>
        </w:tc>
      </w:tr>
      <w:tr w:rsidR="00342926" w14:paraId="59A2276D" w14:textId="77777777" w:rsidTr="000932FA">
        <w:trPr>
          <w:cantSplit/>
        </w:trPr>
        <w:tc>
          <w:tcPr>
            <w:tcW w:w="2189" w:type="dxa"/>
          </w:tcPr>
          <w:p w14:paraId="274E1EA1"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AF9BBAF" w14:textId="77777777" w:rsidR="00342926" w:rsidRPr="001656A3" w:rsidRDefault="00342926" w:rsidP="000932FA">
            <w:pPr>
              <w:widowControl w:val="0"/>
              <w:adjustRightInd w:val="0"/>
              <w:spacing w:after="0" w:line="240" w:lineRule="auto"/>
              <w:jc w:val="both"/>
              <w:textAlignment w:val="baseline"/>
              <w:rPr>
                <w:rFonts w:ascii="Times New Roman" w:eastAsia="Times New Roman" w:hAnsi="Times New Roman"/>
                <w:sz w:val="24"/>
                <w:szCs w:val="24"/>
              </w:rPr>
            </w:pPr>
          </w:p>
        </w:tc>
      </w:tr>
      <w:tr w:rsidR="00342926" w14:paraId="692145BA" w14:textId="77777777" w:rsidTr="000932FA">
        <w:trPr>
          <w:cantSplit/>
        </w:trPr>
        <w:tc>
          <w:tcPr>
            <w:tcW w:w="2189" w:type="dxa"/>
          </w:tcPr>
          <w:p w14:paraId="3CCF6E5E"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CC9E9F5" w14:textId="77777777" w:rsidR="00342926" w:rsidRPr="001656A3" w:rsidRDefault="00342926" w:rsidP="000932FA">
            <w:pPr>
              <w:spacing w:after="0" w:line="240" w:lineRule="auto"/>
              <w:rPr>
                <w:rFonts w:ascii="Times New Roman" w:hAnsi="Times New Roman"/>
                <w:sz w:val="24"/>
                <w:szCs w:val="24"/>
              </w:rPr>
            </w:pPr>
          </w:p>
        </w:tc>
      </w:tr>
      <w:tr w:rsidR="00342926" w14:paraId="0064DDB3" w14:textId="77777777" w:rsidTr="000932FA">
        <w:trPr>
          <w:cantSplit/>
        </w:trPr>
        <w:tc>
          <w:tcPr>
            <w:tcW w:w="2189" w:type="dxa"/>
          </w:tcPr>
          <w:p w14:paraId="3C7CD5CD" w14:textId="77777777" w:rsidR="00342926" w:rsidRPr="001656A3" w:rsidRDefault="00342926" w:rsidP="000932FA">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C22DC29" w14:textId="77777777" w:rsidR="00342926" w:rsidRPr="001656A3" w:rsidRDefault="00342926" w:rsidP="000932FA">
            <w:pPr>
              <w:spacing w:after="0" w:line="240" w:lineRule="auto"/>
              <w:rPr>
                <w:rFonts w:ascii="Times New Roman" w:hAnsi="Times New Roman"/>
                <w:sz w:val="24"/>
                <w:szCs w:val="24"/>
              </w:rPr>
            </w:pPr>
          </w:p>
        </w:tc>
      </w:tr>
    </w:tbl>
    <w:p w14:paraId="3899D679" w14:textId="77777777" w:rsidR="00342926" w:rsidRPr="00ED4EE2" w:rsidRDefault="00342926" w:rsidP="00342926">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Pr>
          <w:rFonts w:ascii="Times New Roman" w:hAnsi="Times New Roman"/>
          <w:b/>
          <w:sz w:val="24"/>
          <w:szCs w:val="24"/>
        </w:rPr>
        <w:t>Akmeņogļu</w:t>
      </w:r>
      <w:r w:rsidRPr="00ED4EE2">
        <w:rPr>
          <w:rFonts w:ascii="Times New Roman" w:hAnsi="Times New Roman"/>
          <w:b/>
          <w:sz w:val="24"/>
          <w:szCs w:val="24"/>
        </w:rPr>
        <w:t xml:space="preserve"> piegāde Vecumnieku apvienības pārvaldes </w:t>
      </w:r>
      <w:r>
        <w:rPr>
          <w:rFonts w:ascii="Times New Roman" w:hAnsi="Times New Roman"/>
          <w:b/>
          <w:sz w:val="24"/>
          <w:szCs w:val="24"/>
        </w:rPr>
        <w:t>Bārbeles, Stelpes</w:t>
      </w:r>
      <w:r w:rsidRPr="00010E03">
        <w:rPr>
          <w:rFonts w:ascii="Times New Roman" w:hAnsi="Times New Roman"/>
          <w:b/>
          <w:sz w:val="24"/>
          <w:szCs w:val="24"/>
        </w:rPr>
        <w:t xml:space="preserve"> </w:t>
      </w:r>
      <w:r>
        <w:rPr>
          <w:rFonts w:ascii="Times New Roman" w:hAnsi="Times New Roman"/>
          <w:b/>
          <w:sz w:val="24"/>
          <w:szCs w:val="24"/>
        </w:rPr>
        <w:t xml:space="preserve">un Valles </w:t>
      </w:r>
      <w:r w:rsidRPr="00010E03">
        <w:rPr>
          <w:rFonts w:ascii="Times New Roman" w:hAnsi="Times New Roman"/>
          <w:b/>
          <w:sz w:val="24"/>
          <w:szCs w:val="24"/>
        </w:rPr>
        <w:t>pagasta nodaļ</w:t>
      </w:r>
      <w:r>
        <w:rPr>
          <w:rFonts w:ascii="Times New Roman" w:hAnsi="Times New Roman"/>
          <w:b/>
          <w:sz w:val="24"/>
          <w:szCs w:val="24"/>
        </w:rPr>
        <w:t>as</w:t>
      </w:r>
      <w:r w:rsidRPr="00010E03">
        <w:rPr>
          <w:rFonts w:ascii="Times New Roman" w:hAnsi="Times New Roman"/>
          <w:b/>
          <w:sz w:val="24"/>
          <w:szCs w:val="24"/>
        </w:rPr>
        <w:t xml:space="preserve"> </w:t>
      </w:r>
      <w:r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C536DD">
        <w:rPr>
          <w:rFonts w:ascii="Times New Roman" w:hAnsi="Times New Roman"/>
          <w:b/>
          <w:bCs/>
          <w:sz w:val="24"/>
          <w:szCs w:val="24"/>
        </w:rPr>
        <w:t>VAP/2-1/2024/</w:t>
      </w:r>
      <w:r>
        <w:rPr>
          <w:rFonts w:ascii="Times New Roman" w:hAnsi="Times New Roman"/>
          <w:b/>
          <w:bCs/>
          <w:sz w:val="24"/>
          <w:szCs w:val="24"/>
        </w:rPr>
        <w:t>33</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342926" w14:paraId="4AEC0CE0" w14:textId="77777777" w:rsidTr="000932FA">
        <w:tc>
          <w:tcPr>
            <w:tcW w:w="2395" w:type="dxa"/>
          </w:tcPr>
          <w:p w14:paraId="00C5AD83" w14:textId="77777777" w:rsidR="00342926" w:rsidRPr="00E03881" w:rsidRDefault="00342926" w:rsidP="00342926">
            <w:pPr>
              <w:spacing w:after="0" w:line="240" w:lineRule="auto"/>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3A9E3C61" w14:textId="77777777" w:rsidR="00342926" w:rsidRPr="00E03881" w:rsidRDefault="00342926" w:rsidP="00342926">
            <w:pPr>
              <w:spacing w:after="0" w:line="240" w:lineRule="auto"/>
              <w:rPr>
                <w:rFonts w:ascii="Times New Roman" w:hAnsi="Times New Roman"/>
                <w:b/>
                <w:sz w:val="24"/>
                <w:szCs w:val="24"/>
              </w:rPr>
            </w:pPr>
            <w:r>
              <w:rPr>
                <w:rFonts w:ascii="Times New Roman" w:hAnsi="Times New Roman"/>
                <w:b/>
                <w:sz w:val="24"/>
                <w:szCs w:val="24"/>
              </w:rPr>
              <w:t>Daudzums, tonnas</w:t>
            </w:r>
          </w:p>
        </w:tc>
        <w:tc>
          <w:tcPr>
            <w:tcW w:w="3121" w:type="dxa"/>
          </w:tcPr>
          <w:p w14:paraId="637F1B25" w14:textId="77777777" w:rsidR="00342926" w:rsidRPr="00E03881" w:rsidRDefault="00342926" w:rsidP="00342926">
            <w:pPr>
              <w:spacing w:after="0" w:line="240" w:lineRule="auto"/>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1E4151CE" w14:textId="77777777" w:rsidR="00342926" w:rsidRDefault="00342926" w:rsidP="00342926">
            <w:pPr>
              <w:spacing w:after="0" w:line="240" w:lineRule="auto"/>
              <w:rPr>
                <w:rFonts w:ascii="Times New Roman" w:hAnsi="Times New Roman"/>
                <w:b/>
                <w:sz w:val="24"/>
                <w:szCs w:val="24"/>
              </w:rPr>
            </w:pPr>
            <w:r>
              <w:rPr>
                <w:rFonts w:ascii="Times New Roman" w:hAnsi="Times New Roman"/>
                <w:b/>
                <w:sz w:val="24"/>
                <w:szCs w:val="24"/>
              </w:rPr>
              <w:t>Piedāvājuma cena par visu apjomu, EUR bez PVN</w:t>
            </w:r>
          </w:p>
        </w:tc>
      </w:tr>
      <w:tr w:rsidR="00342926" w14:paraId="12036023" w14:textId="77777777" w:rsidTr="000932FA">
        <w:tc>
          <w:tcPr>
            <w:tcW w:w="2395" w:type="dxa"/>
          </w:tcPr>
          <w:p w14:paraId="5CB6BA53" w14:textId="5FD8CE0E" w:rsidR="00342926" w:rsidRPr="00961E07" w:rsidRDefault="00342926" w:rsidP="00342926">
            <w:pPr>
              <w:spacing w:after="0" w:line="240" w:lineRule="auto"/>
              <w:rPr>
                <w:rFonts w:ascii="Times New Roman" w:hAnsi="Times New Roman"/>
                <w:bCs/>
                <w:sz w:val="24"/>
                <w:szCs w:val="24"/>
              </w:rPr>
            </w:pPr>
            <w:r w:rsidRPr="00961E07">
              <w:rPr>
                <w:rFonts w:ascii="Times New Roman" w:hAnsi="Times New Roman"/>
                <w:bCs/>
                <w:sz w:val="24"/>
                <w:szCs w:val="24"/>
              </w:rPr>
              <w:t>Akmeņogļu piegāde</w:t>
            </w:r>
          </w:p>
        </w:tc>
        <w:tc>
          <w:tcPr>
            <w:tcW w:w="1574" w:type="dxa"/>
          </w:tcPr>
          <w:p w14:paraId="6916F0E5" w14:textId="77777777" w:rsidR="00342926" w:rsidRPr="00961E07" w:rsidRDefault="00342926" w:rsidP="00342926">
            <w:pPr>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3121" w:type="dxa"/>
          </w:tcPr>
          <w:p w14:paraId="30246CDD" w14:textId="77777777" w:rsidR="00342926" w:rsidRPr="00E03881" w:rsidRDefault="00342926" w:rsidP="00342926">
            <w:pPr>
              <w:spacing w:after="0" w:line="240" w:lineRule="auto"/>
              <w:rPr>
                <w:rFonts w:ascii="Times New Roman" w:hAnsi="Times New Roman"/>
                <w:b/>
                <w:sz w:val="24"/>
                <w:szCs w:val="24"/>
              </w:rPr>
            </w:pPr>
          </w:p>
        </w:tc>
        <w:tc>
          <w:tcPr>
            <w:tcW w:w="2119" w:type="dxa"/>
          </w:tcPr>
          <w:p w14:paraId="007134CE" w14:textId="77777777" w:rsidR="00342926" w:rsidRPr="00E03881" w:rsidRDefault="00342926" w:rsidP="00342926">
            <w:pPr>
              <w:spacing w:after="0" w:line="240" w:lineRule="auto"/>
              <w:rPr>
                <w:rFonts w:ascii="Times New Roman" w:hAnsi="Times New Roman"/>
                <w:b/>
                <w:sz w:val="24"/>
                <w:szCs w:val="24"/>
              </w:rPr>
            </w:pPr>
          </w:p>
        </w:tc>
      </w:tr>
      <w:tr w:rsidR="00342926" w14:paraId="53D687F3" w14:textId="77777777" w:rsidTr="000932FA">
        <w:tc>
          <w:tcPr>
            <w:tcW w:w="2395" w:type="dxa"/>
          </w:tcPr>
          <w:p w14:paraId="268BD305" w14:textId="77777777" w:rsidR="00342926" w:rsidRDefault="00342926" w:rsidP="00342926">
            <w:pPr>
              <w:spacing w:after="0" w:line="240" w:lineRule="auto"/>
              <w:rPr>
                <w:rFonts w:ascii="Times New Roman" w:hAnsi="Times New Roman"/>
                <w:b/>
                <w:sz w:val="24"/>
                <w:szCs w:val="24"/>
              </w:rPr>
            </w:pPr>
          </w:p>
        </w:tc>
        <w:tc>
          <w:tcPr>
            <w:tcW w:w="1574" w:type="dxa"/>
            <w:vAlign w:val="center"/>
          </w:tcPr>
          <w:p w14:paraId="5D2B1D8D" w14:textId="77777777" w:rsidR="00342926" w:rsidRPr="00E03881" w:rsidRDefault="00342926" w:rsidP="00342926">
            <w:pPr>
              <w:spacing w:after="0" w:line="240" w:lineRule="auto"/>
              <w:jc w:val="right"/>
              <w:rPr>
                <w:rFonts w:ascii="Times New Roman" w:hAnsi="Times New Roman"/>
                <w:b/>
                <w:sz w:val="24"/>
                <w:szCs w:val="24"/>
              </w:rPr>
            </w:pPr>
          </w:p>
        </w:tc>
        <w:tc>
          <w:tcPr>
            <w:tcW w:w="3121" w:type="dxa"/>
            <w:vAlign w:val="center"/>
          </w:tcPr>
          <w:p w14:paraId="5A198B4A" w14:textId="77777777" w:rsidR="00342926" w:rsidRPr="00E03881" w:rsidRDefault="00342926" w:rsidP="00342926">
            <w:pPr>
              <w:spacing w:after="0" w:line="240" w:lineRule="auto"/>
              <w:rPr>
                <w:rFonts w:ascii="Times New Roman" w:hAnsi="Times New Roman"/>
                <w:b/>
                <w:sz w:val="24"/>
                <w:szCs w:val="24"/>
              </w:rPr>
            </w:pPr>
            <w:r w:rsidRPr="00924F70">
              <w:rPr>
                <w:rFonts w:ascii="Times New Roman" w:hAnsi="Times New Roman"/>
                <w:sz w:val="24"/>
                <w:szCs w:val="24"/>
              </w:rPr>
              <w:t>PVN (21%), EUR:</w:t>
            </w:r>
          </w:p>
        </w:tc>
        <w:tc>
          <w:tcPr>
            <w:tcW w:w="2119" w:type="dxa"/>
          </w:tcPr>
          <w:p w14:paraId="21018EF8" w14:textId="77777777" w:rsidR="00342926" w:rsidRPr="00961E07" w:rsidRDefault="00342926" w:rsidP="00342926">
            <w:pPr>
              <w:spacing w:after="0" w:line="240" w:lineRule="auto"/>
              <w:rPr>
                <w:rFonts w:ascii="Times New Roman" w:hAnsi="Times New Roman"/>
                <w:bCs/>
                <w:sz w:val="24"/>
                <w:szCs w:val="24"/>
              </w:rPr>
            </w:pPr>
          </w:p>
        </w:tc>
      </w:tr>
      <w:tr w:rsidR="00342926" w14:paraId="03A741B9" w14:textId="77777777" w:rsidTr="000932FA">
        <w:tc>
          <w:tcPr>
            <w:tcW w:w="2395" w:type="dxa"/>
          </w:tcPr>
          <w:p w14:paraId="682A5688" w14:textId="77777777" w:rsidR="00342926" w:rsidRDefault="00342926" w:rsidP="00342926">
            <w:pPr>
              <w:spacing w:after="0" w:line="240" w:lineRule="auto"/>
              <w:rPr>
                <w:rFonts w:ascii="Times New Roman" w:hAnsi="Times New Roman"/>
                <w:b/>
                <w:sz w:val="24"/>
                <w:szCs w:val="24"/>
              </w:rPr>
            </w:pPr>
          </w:p>
        </w:tc>
        <w:tc>
          <w:tcPr>
            <w:tcW w:w="1574" w:type="dxa"/>
            <w:vAlign w:val="center"/>
          </w:tcPr>
          <w:p w14:paraId="3B4696C5" w14:textId="77777777" w:rsidR="00342926" w:rsidRPr="00E03881" w:rsidRDefault="00342926" w:rsidP="00342926">
            <w:pPr>
              <w:spacing w:after="0" w:line="240" w:lineRule="auto"/>
              <w:jc w:val="right"/>
              <w:rPr>
                <w:rFonts w:ascii="Times New Roman" w:hAnsi="Times New Roman"/>
                <w:b/>
                <w:sz w:val="24"/>
                <w:szCs w:val="24"/>
              </w:rPr>
            </w:pPr>
          </w:p>
        </w:tc>
        <w:tc>
          <w:tcPr>
            <w:tcW w:w="3121" w:type="dxa"/>
            <w:vAlign w:val="center"/>
          </w:tcPr>
          <w:p w14:paraId="1E12C49B" w14:textId="77777777" w:rsidR="00342926" w:rsidRPr="00E03881" w:rsidRDefault="00342926" w:rsidP="00342926">
            <w:pPr>
              <w:spacing w:after="0" w:line="240" w:lineRule="auto"/>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510D3B42" w14:textId="77777777" w:rsidR="00342926" w:rsidRPr="00961E07" w:rsidRDefault="00342926" w:rsidP="00342926">
            <w:pPr>
              <w:spacing w:after="0" w:line="240" w:lineRule="auto"/>
              <w:rPr>
                <w:rFonts w:ascii="Times New Roman" w:hAnsi="Times New Roman"/>
                <w:bCs/>
                <w:sz w:val="24"/>
                <w:szCs w:val="24"/>
              </w:rPr>
            </w:pPr>
          </w:p>
        </w:tc>
      </w:tr>
    </w:tbl>
    <w:p w14:paraId="42911B84" w14:textId="77777777" w:rsidR="00342926" w:rsidRPr="00186327" w:rsidRDefault="00342926" w:rsidP="00342926">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53D97177" w14:textId="77777777" w:rsidR="00342926" w:rsidRPr="00FD3A76" w:rsidRDefault="00342926" w:rsidP="0034292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57E2CC41" w14:textId="77777777" w:rsidR="00342926" w:rsidRPr="001656A3" w:rsidRDefault="00342926" w:rsidP="00342926">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32C2B447" w14:textId="77777777" w:rsidR="00342926" w:rsidRPr="001656A3" w:rsidRDefault="00342926" w:rsidP="00342926">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342926" w14:paraId="6D10CF18" w14:textId="77777777" w:rsidTr="000932FA">
        <w:trPr>
          <w:trHeight w:val="245"/>
          <w:jc w:val="center"/>
        </w:trPr>
        <w:tc>
          <w:tcPr>
            <w:tcW w:w="3356" w:type="dxa"/>
            <w:shd w:val="clear" w:color="auto" w:fill="BFBFBF"/>
            <w:vAlign w:val="center"/>
          </w:tcPr>
          <w:p w14:paraId="728AD963" w14:textId="77777777" w:rsidR="00342926" w:rsidRPr="001656A3" w:rsidRDefault="00342926" w:rsidP="000932FA">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53C2A3C0" w14:textId="77777777" w:rsidR="00342926" w:rsidRPr="001656A3" w:rsidRDefault="00342926" w:rsidP="000932FA">
            <w:pPr>
              <w:spacing w:after="0" w:line="240" w:lineRule="auto"/>
              <w:rPr>
                <w:rFonts w:ascii="Times New Roman" w:hAnsi="Times New Roman"/>
                <w:bCs/>
                <w:sz w:val="24"/>
                <w:szCs w:val="24"/>
              </w:rPr>
            </w:pPr>
          </w:p>
        </w:tc>
      </w:tr>
      <w:tr w:rsidR="00342926" w14:paraId="47D2D004" w14:textId="77777777" w:rsidTr="000932FA">
        <w:trPr>
          <w:trHeight w:val="249"/>
          <w:jc w:val="center"/>
        </w:trPr>
        <w:tc>
          <w:tcPr>
            <w:tcW w:w="3356" w:type="dxa"/>
            <w:shd w:val="clear" w:color="auto" w:fill="BFBFBF"/>
            <w:vAlign w:val="center"/>
          </w:tcPr>
          <w:p w14:paraId="38E5BD76" w14:textId="77777777" w:rsidR="00342926" w:rsidRPr="001656A3" w:rsidRDefault="00342926" w:rsidP="000932FA">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60A22784" w14:textId="77777777" w:rsidR="00342926" w:rsidRPr="001656A3" w:rsidRDefault="00342926" w:rsidP="000932FA">
            <w:pPr>
              <w:spacing w:after="0" w:line="240" w:lineRule="auto"/>
              <w:rPr>
                <w:rFonts w:ascii="Times New Roman" w:hAnsi="Times New Roman"/>
                <w:bCs/>
                <w:sz w:val="24"/>
                <w:szCs w:val="24"/>
              </w:rPr>
            </w:pPr>
          </w:p>
        </w:tc>
      </w:tr>
      <w:tr w:rsidR="00342926" w14:paraId="4A6C4C49" w14:textId="77777777" w:rsidTr="000932FA">
        <w:trPr>
          <w:trHeight w:val="239"/>
          <w:jc w:val="center"/>
        </w:trPr>
        <w:tc>
          <w:tcPr>
            <w:tcW w:w="3356" w:type="dxa"/>
            <w:shd w:val="clear" w:color="auto" w:fill="BFBFBF"/>
            <w:vAlign w:val="center"/>
          </w:tcPr>
          <w:p w14:paraId="7D82F3DA" w14:textId="77777777" w:rsidR="00342926" w:rsidRPr="001656A3" w:rsidRDefault="00342926" w:rsidP="000932FA">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23D20090" w14:textId="77777777" w:rsidR="00342926" w:rsidRPr="001656A3" w:rsidRDefault="00342926" w:rsidP="000932FA">
            <w:pPr>
              <w:spacing w:after="0" w:line="240" w:lineRule="auto"/>
              <w:rPr>
                <w:rFonts w:ascii="Times New Roman" w:hAnsi="Times New Roman"/>
                <w:bCs/>
                <w:sz w:val="24"/>
                <w:szCs w:val="24"/>
              </w:rPr>
            </w:pPr>
          </w:p>
        </w:tc>
      </w:tr>
      <w:tr w:rsidR="00342926" w14:paraId="4BC13EB6" w14:textId="77777777" w:rsidTr="000932FA">
        <w:trPr>
          <w:trHeight w:val="243"/>
          <w:jc w:val="center"/>
        </w:trPr>
        <w:tc>
          <w:tcPr>
            <w:tcW w:w="3356" w:type="dxa"/>
            <w:shd w:val="clear" w:color="auto" w:fill="BFBFBF"/>
            <w:vAlign w:val="center"/>
          </w:tcPr>
          <w:p w14:paraId="37B75A4C" w14:textId="77777777" w:rsidR="00342926" w:rsidRPr="001656A3" w:rsidRDefault="00342926" w:rsidP="000932FA">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100FDDEB" w14:textId="77777777" w:rsidR="00342926" w:rsidRPr="001656A3" w:rsidRDefault="00342926" w:rsidP="000932FA">
            <w:pPr>
              <w:spacing w:after="0" w:line="240" w:lineRule="auto"/>
              <w:rPr>
                <w:rFonts w:ascii="Times New Roman" w:hAnsi="Times New Roman"/>
                <w:bCs/>
                <w:sz w:val="24"/>
                <w:szCs w:val="24"/>
              </w:rPr>
            </w:pPr>
          </w:p>
        </w:tc>
      </w:tr>
    </w:tbl>
    <w:p w14:paraId="56FA23EF" w14:textId="70A94A44" w:rsidR="000406B9" w:rsidRDefault="00342926" w:rsidP="00DA73EC">
      <w:pPr>
        <w:jc w:val="cente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sectPr w:rsidR="000406B9" w:rsidSect="00342926">
      <w:footerReference w:type="default" r:id="rId6"/>
      <w:footerReference w:type="first" r:id="rId7"/>
      <w:pgSz w:w="11906" w:h="16838"/>
      <w:pgMar w:top="426" w:right="1274" w:bottom="567"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3C610" w14:textId="77777777" w:rsidR="00044820" w:rsidRDefault="00044820" w:rsidP="00342926">
      <w:pPr>
        <w:spacing w:after="0" w:line="240" w:lineRule="auto"/>
      </w:pPr>
      <w:r>
        <w:separator/>
      </w:r>
    </w:p>
  </w:endnote>
  <w:endnote w:type="continuationSeparator" w:id="0">
    <w:p w14:paraId="515690A3" w14:textId="77777777" w:rsidR="00044820" w:rsidRDefault="00044820" w:rsidP="0034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9343E" w14:textId="77777777" w:rsidR="00A86E12" w:rsidRDefault="00A86E12">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5A5EE5D" w14:textId="77777777" w:rsidR="00A86E12" w:rsidRDefault="00000000">
    <w:r>
      <w:t xml:space="preserve">        </w:t>
    </w:r>
  </w:p>
  <w:p w14:paraId="39B63655" w14:textId="77777777" w:rsidR="00A86E12"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A570E" w14:textId="77777777" w:rsidR="00A86E12" w:rsidRDefault="00000000">
    <w:r>
      <w:t xml:space="preserve">          Šis dokuments ir parakstīts ar drošu elektronisko parakstu un satur laika zīmogu</w:t>
    </w:r>
  </w:p>
  <w:p w14:paraId="305AA095" w14:textId="77777777" w:rsidR="00A86E12" w:rsidRDefault="00000000">
    <w:r>
      <w:t xml:space="preserve">          Šis dokuments ir parakstīts ar drošu elektronisko parakstu un satur laika zīmogu</w:t>
    </w:r>
  </w:p>
  <w:p w14:paraId="1FCF4E92" w14:textId="77777777" w:rsidR="00A86E12" w:rsidRDefault="00000000">
    <w:r>
      <w:t xml:space="preserve">          Šis dokuments ir parakstīts ar drošu elektronisko parakstu un satur laika zīmogu</w:t>
    </w:r>
  </w:p>
  <w:p w14:paraId="6F05F3BA" w14:textId="77777777" w:rsidR="00A86E12" w:rsidRDefault="00000000">
    <w:r>
      <w:t xml:space="preserve">          Šis dokuments ir parakstīts ar drošu elektronisko parakstu un satur laika zīmogu</w:t>
    </w:r>
  </w:p>
  <w:p w14:paraId="52642BB8" w14:textId="77777777" w:rsidR="00A86E12" w:rsidRDefault="00000000">
    <w:r>
      <w:t xml:space="preserve">          Šis dokuments ir parakstīts ar drošu elektronisko parakstu un satur laika zīmogu</w:t>
    </w:r>
  </w:p>
  <w:p w14:paraId="67EE0324" w14:textId="77777777" w:rsidR="00A86E1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46743" w14:textId="77777777" w:rsidR="00044820" w:rsidRDefault="00044820" w:rsidP="00342926">
      <w:pPr>
        <w:spacing w:after="0" w:line="240" w:lineRule="auto"/>
      </w:pPr>
      <w:r>
        <w:separator/>
      </w:r>
    </w:p>
  </w:footnote>
  <w:footnote w:type="continuationSeparator" w:id="0">
    <w:p w14:paraId="52F53481" w14:textId="77777777" w:rsidR="00044820" w:rsidRDefault="00044820" w:rsidP="00342926">
      <w:pPr>
        <w:spacing w:after="0" w:line="240" w:lineRule="auto"/>
      </w:pPr>
      <w:r>
        <w:continuationSeparator/>
      </w:r>
    </w:p>
  </w:footnote>
  <w:footnote w:id="1">
    <w:p w14:paraId="55967166" w14:textId="77777777" w:rsidR="00342926" w:rsidRDefault="00342926" w:rsidP="0034292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26"/>
    <w:rsid w:val="000406B9"/>
    <w:rsid w:val="00044820"/>
    <w:rsid w:val="001630A2"/>
    <w:rsid w:val="00342926"/>
    <w:rsid w:val="007F36D2"/>
    <w:rsid w:val="008300FD"/>
    <w:rsid w:val="008E4647"/>
    <w:rsid w:val="00A86E12"/>
    <w:rsid w:val="00DA7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0FE1"/>
  <w15:chartTrackingRefBased/>
  <w15:docId w15:val="{3FC35611-B3E6-4F9A-B553-1CB03E40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926"/>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342926"/>
    <w:pPr>
      <w:ind w:left="720"/>
      <w:contextualSpacing/>
    </w:pPr>
  </w:style>
  <w:style w:type="table" w:styleId="Reatabula">
    <w:name w:val="Table Grid"/>
    <w:basedOn w:val="Parastatabula"/>
    <w:uiPriority w:val="39"/>
    <w:rsid w:val="003429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342926"/>
    <w:rPr>
      <w:rFonts w:ascii="Calibri" w:eastAsia="Calibri" w:hAnsi="Calibri" w:cs="Times New Roman"/>
      <w:kern w:val="0"/>
      <w14:ligatures w14:val="none"/>
    </w:rPr>
  </w:style>
  <w:style w:type="paragraph" w:styleId="Vresteksts">
    <w:name w:val="footnote text"/>
    <w:basedOn w:val="Parasts"/>
    <w:link w:val="VrestekstsRakstz"/>
    <w:rsid w:val="00342926"/>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342926"/>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3429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1200</Words>
  <Characters>684</Characters>
  <Application>Microsoft Office Word</Application>
  <DocSecurity>0</DocSecurity>
  <Lines>5</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3</cp:revision>
  <dcterms:created xsi:type="dcterms:W3CDTF">2024-11-25T13:17:00Z</dcterms:created>
  <dcterms:modified xsi:type="dcterms:W3CDTF">2024-11-25T13:24:00Z</dcterms:modified>
</cp:coreProperties>
</file>