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RPr="00AC5E15" w:rsidP="00895EED" w14:paraId="62209446" w14:textId="3FCDA4A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5E15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Pr="00AC5E15"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C5E15" w:rsidP="00895EED" w14:paraId="4054A29E" w14:textId="5802BEF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5E15"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AC5E15" w:rsidP="00C837AF" w14:paraId="72F72253" w14:textId="5B20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5E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C5E15" w:rsidR="00250A42">
        <w:rPr>
          <w:rFonts w:ascii="Times New Roman" w:eastAsia="Times New Roman" w:hAnsi="Times New Roman" w:cs="Times New Roman"/>
          <w:b/>
          <w:sz w:val="28"/>
          <w:szCs w:val="28"/>
        </w:rPr>
        <w:t>Apdrukas</w:t>
      </w:r>
      <w:r w:rsidRPr="00AC5E15" w:rsidR="00C837AF">
        <w:rPr>
          <w:rFonts w:ascii="Times New Roman" w:eastAsia="Times New Roman" w:hAnsi="Times New Roman" w:cs="Times New Roman"/>
          <w:b/>
          <w:sz w:val="28"/>
          <w:szCs w:val="28"/>
        </w:rPr>
        <w:t xml:space="preserve"> pakalpojum</w:t>
      </w:r>
      <w:r w:rsidRPr="00AC5E15" w:rsidR="00250A42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AC5E15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AC5E15" w:rsidP="00895EED" w14:paraId="4DF10FD7" w14:textId="6B7CBF3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Pr="00AC5E15"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AC5E15" w:rsidR="00250A42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AC093E" w:rsidRPr="00AC5E15" w:rsidP="000334F1" w14:paraId="5DECC10A" w14:textId="101725CD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C5E15">
        <w:rPr>
          <w:rFonts w:ascii="Times New Roman" w:hAnsi="Times New Roman" w:cs="Times New Roman"/>
          <w:sz w:val="24"/>
          <w:szCs w:val="24"/>
        </w:rPr>
        <w:t>Bauskā, Bauskas novadā</w:t>
      </w:r>
      <w:r w:rsidRPr="00AC5E15">
        <w:rPr>
          <w:rFonts w:ascii="Times New Roman" w:hAnsi="Times New Roman" w:cs="Times New Roman"/>
          <w:sz w:val="24"/>
          <w:szCs w:val="24"/>
        </w:rPr>
        <w:tab/>
      </w:r>
      <w:r w:rsidRPr="00AC5E15" w:rsidR="000334F1">
        <w:rPr>
          <w:rFonts w:ascii="Times New Roman" w:hAnsi="Times New Roman" w:cs="Times New Roman"/>
          <w:sz w:val="24"/>
          <w:szCs w:val="24"/>
        </w:rPr>
        <w:tab/>
      </w:r>
      <w:r w:rsidRPr="00AC5E15">
        <w:rPr>
          <w:rFonts w:ascii="Times New Roman" w:hAnsi="Times New Roman" w:cs="Times New Roman"/>
          <w:sz w:val="24"/>
          <w:szCs w:val="24"/>
        </w:rPr>
        <w:t xml:space="preserve">Nolikuma </w:t>
      </w:r>
      <w:r w:rsidRPr="00AC5E15">
        <w:rPr>
          <w:rFonts w:ascii="Times New Roman" w:hAnsi="Times New Roman" w:cs="Times New Roman"/>
          <w:sz w:val="24"/>
          <w:szCs w:val="24"/>
        </w:rPr>
        <w:t xml:space="preserve">datums ir pievienotā elektroniskā paraksta </w:t>
      </w:r>
    </w:p>
    <w:p w:rsidR="00895EED" w:rsidRPr="00AC5E15" w:rsidP="000334F1" w14:paraId="33F9882B" w14:textId="5A7F3A4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C5E15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C5E15" w:rsidP="00895EED" w14:paraId="06E9A407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C5E15" w:rsidP="00A9724F" w14:paraId="4C46622E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16BEA86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C5E15" w:rsidP="006829EF" w14:paraId="43315D0C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C5E15" w:rsidP="00A9724F" w14:paraId="57CB63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5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C5E15" w:rsidP="00A9724F" w14:paraId="30A6FE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5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A823B1A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C5E15" w:rsidP="006829EF" w14:paraId="7410CEF3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C5E15" w:rsidP="00A9724F" w14:paraId="43E029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5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C5E15" w:rsidP="00A9724F" w14:paraId="09B547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5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5EF0FEC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C5E15" w:rsidP="006829EF" w14:paraId="41221CC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C5E15" w:rsidP="00A9724F" w14:paraId="54B5D674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RPr="00AC5E15" w:rsidP="00854B95" w14:paraId="0C29E2B1" w14:textId="77777777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6B6FB8" w:rsidRPr="00AC5E15" w:rsidP="006B6FB8" w14:paraId="71FB2918" w14:textId="2E986693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5E15">
        <w:rPr>
          <w:rFonts w:ascii="Times New Roman" w:eastAsia="Times New Roman" w:hAnsi="Times New Roman"/>
          <w:sz w:val="24"/>
          <w:szCs w:val="24"/>
        </w:rPr>
        <w:t>Apdrukas</w:t>
      </w:r>
      <w:r w:rsidRPr="00AC5E1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C5E15" w:rsidR="00C837AF">
        <w:rPr>
          <w:rFonts w:ascii="Times New Roman" w:eastAsia="Times New Roman" w:hAnsi="Times New Roman"/>
          <w:sz w:val="24"/>
          <w:szCs w:val="24"/>
        </w:rPr>
        <w:t>pakalpojuma sniegšana</w:t>
      </w:r>
      <w:r w:rsidRPr="00AC5E15" w:rsidR="005A0750">
        <w:rPr>
          <w:rFonts w:ascii="Times New Roman" w:eastAsia="Times New Roman" w:hAnsi="Times New Roman"/>
          <w:sz w:val="24"/>
          <w:szCs w:val="24"/>
        </w:rPr>
        <w:t>,</w:t>
      </w:r>
      <w:r w:rsidRPr="00AC5E1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AC5E1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AC5E15" w:rsidR="00860887">
        <w:rPr>
          <w:rFonts w:ascii="Times New Roman" w:hAnsi="Times New Roman"/>
          <w:sz w:val="24"/>
          <w:szCs w:val="24"/>
        </w:rPr>
        <w:t>tehnisko specifikāciju</w:t>
      </w:r>
      <w:r w:rsidRPr="00AC5E15" w:rsidR="008D089C">
        <w:rPr>
          <w:rFonts w:ascii="Times New Roman" w:hAnsi="Times New Roman"/>
          <w:sz w:val="24"/>
          <w:szCs w:val="24"/>
        </w:rPr>
        <w:t xml:space="preserve"> </w:t>
      </w:r>
      <w:r w:rsidRPr="00AC5E15" w:rsidR="00860887">
        <w:rPr>
          <w:rFonts w:ascii="Times New Roman" w:hAnsi="Times New Roman"/>
          <w:sz w:val="24"/>
          <w:szCs w:val="24"/>
        </w:rPr>
        <w:t>(</w:t>
      </w:r>
      <w:r w:rsidRPr="00AC5E15" w:rsidR="001C1421">
        <w:rPr>
          <w:rFonts w:ascii="Times New Roman" w:hAnsi="Times New Roman"/>
          <w:sz w:val="24"/>
          <w:szCs w:val="24"/>
        </w:rPr>
        <w:t xml:space="preserve">Nolikuma </w:t>
      </w:r>
      <w:r w:rsidRPr="00AC5E15" w:rsidR="005B21FD">
        <w:rPr>
          <w:rFonts w:ascii="Times New Roman" w:hAnsi="Times New Roman"/>
          <w:sz w:val="24"/>
          <w:szCs w:val="24"/>
        </w:rPr>
        <w:t>1</w:t>
      </w:r>
      <w:r w:rsidRPr="00AC5E15" w:rsidR="00860887">
        <w:rPr>
          <w:rFonts w:ascii="Times New Roman" w:hAnsi="Times New Roman"/>
          <w:sz w:val="24"/>
          <w:szCs w:val="24"/>
        </w:rPr>
        <w:t>.pielikums)</w:t>
      </w:r>
      <w:r w:rsidRPr="00AC5E15" w:rsidR="001C1421">
        <w:rPr>
          <w:rFonts w:ascii="Times New Roman" w:hAnsi="Times New Roman"/>
          <w:sz w:val="24"/>
          <w:szCs w:val="24"/>
        </w:rPr>
        <w:t xml:space="preserve"> un Finanšu piedāvājumu (Nolikuma 3.pielikums).</w:t>
      </w:r>
      <w:r w:rsidRPr="00AC5E15">
        <w:rPr>
          <w:rFonts w:ascii="Times New Roman" w:hAnsi="Times New Roman"/>
          <w:sz w:val="24"/>
          <w:szCs w:val="24"/>
        </w:rPr>
        <w:t xml:space="preserve"> Finanšu piedāvājumā </w:t>
      </w:r>
      <w:r w:rsidRPr="00AC5E15">
        <w:rPr>
          <w:rFonts w:ascii="Times New Roman" w:eastAsia="Times New Roman" w:hAnsi="Times New Roman" w:cs="Times New Roman"/>
          <w:bCs/>
          <w:sz w:val="24"/>
          <w:szCs w:val="24"/>
        </w:rPr>
        <w:t xml:space="preserve">ir uzrādīti </w:t>
      </w:r>
      <w:r w:rsidRPr="00AC5E15">
        <w:rPr>
          <w:rFonts w:ascii="Times New Roman" w:eastAsia="Times New Roman" w:hAnsi="Times New Roman" w:cs="Times New Roman"/>
          <w:bCs/>
          <w:sz w:val="24"/>
          <w:szCs w:val="24"/>
        </w:rPr>
        <w:t>apdrukas</w:t>
      </w:r>
      <w:r w:rsidRPr="00AC5E15">
        <w:rPr>
          <w:rFonts w:ascii="Times New Roman" w:eastAsia="Times New Roman" w:hAnsi="Times New Roman" w:cs="Times New Roman"/>
          <w:bCs/>
          <w:sz w:val="24"/>
          <w:szCs w:val="24"/>
        </w:rPr>
        <w:t xml:space="preserve"> pakalpojumi, kurus Pasūtītājs pasūtīs pārsvarā. Pasūtītājs patur tiesības pēc nepieciešamības pasūtīt citus </w:t>
      </w:r>
      <w:r w:rsidRPr="00AC5E15">
        <w:rPr>
          <w:rFonts w:ascii="Times New Roman" w:hAnsi="Times New Roman"/>
          <w:sz w:val="24"/>
          <w:szCs w:val="24"/>
        </w:rPr>
        <w:t xml:space="preserve">Finanšu piedāvājumu </w:t>
      </w:r>
      <w:r w:rsidRPr="00AC5E15">
        <w:rPr>
          <w:rFonts w:ascii="Times New Roman" w:eastAsia="Times New Roman" w:hAnsi="Times New Roman" w:cs="Times New Roman"/>
          <w:bCs/>
          <w:sz w:val="24"/>
          <w:szCs w:val="24"/>
        </w:rPr>
        <w:t>nenorādītus pakalpojumus, kurus sniedz Izpi</w:t>
      </w:r>
      <w:r w:rsidR="00AC5E15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AC5E15">
        <w:rPr>
          <w:rFonts w:ascii="Times New Roman" w:eastAsia="Times New Roman" w:hAnsi="Times New Roman" w:cs="Times New Roman"/>
          <w:bCs/>
          <w:sz w:val="24"/>
          <w:szCs w:val="24"/>
        </w:rPr>
        <w:t>dītājs.</w:t>
      </w:r>
    </w:p>
    <w:p w:rsidR="00A41BBA" w:rsidRPr="00AC5E15" w:rsidP="00854B95" w14:paraId="6CEF4CC2" w14:textId="77777777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724F" w:rsidRPr="00AC5E15" w:rsidP="00A9724F" w14:paraId="77327063" w14:textId="6C9C9420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Pr="00AC5E15"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AC5E15" w:rsidR="00250A42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37AF" w:rsidRPr="00AC5E15" w:rsidP="00807F3D" w14:paraId="33B39ADF" w14:textId="5E125C32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sz w:val="24"/>
          <w:szCs w:val="24"/>
        </w:rPr>
        <w:t xml:space="preserve">Par Cenu aptaujas noteikumiem: Bauskas apvienības pārvaldes vadītājas vietniece Dace Šķiliņa, e-pasts: </w:t>
      </w:r>
      <w:hyperlink r:id="rId4" w:history="1">
        <w:r w:rsidRPr="00AC5E15" w:rsidR="00F929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dace.skilina@bauskasnovads.lv</w:t>
        </w:r>
      </w:hyperlink>
      <w:r w:rsidRPr="00AC5E15" w:rsidR="00F92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E15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r w:rsidRPr="00AC5E15">
        <w:rPr>
          <w:rFonts w:ascii="Times New Roman" w:eastAsia="Times New Roman" w:hAnsi="Times New Roman" w:cs="Times New Roman"/>
          <w:color w:val="323232"/>
          <w:sz w:val="24"/>
          <w:szCs w:val="24"/>
        </w:rPr>
        <w:t>27234030</w:t>
      </w:r>
      <w:r w:rsidRPr="00AC5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5EED" w:rsidRPr="00AC5E15" w:rsidP="00A9724F" w14:paraId="34EDA462" w14:textId="7777777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Pr="00AC5E15"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AC5E15" w:rsidP="00807F3D" w14:paraId="1BC8114E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RPr="00AC5E15" w:rsidP="00807F3D" w14:paraId="654C9EAC" w14:textId="6999C0AB">
      <w:pPr>
        <w:pStyle w:val="ListParagraph"/>
        <w:numPr>
          <w:ilvl w:val="1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drīkst iesniegt par visu iepirkuma priekšmeta apjomu.</w:t>
      </w:r>
    </w:p>
    <w:p w:rsidR="00967FC1" w:rsidRPr="00AC5E15" w:rsidP="00807F3D" w14:paraId="4770154F" w14:textId="560555BC">
      <w:pPr>
        <w:pStyle w:val="ListParagraph"/>
        <w:numPr>
          <w:ilvl w:val="1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AC5E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C5E15"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AC5E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AC5E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AC5E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AC5E1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AC5E1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C5E15" w:rsidR="00F929C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C5E15">
        <w:rPr>
          <w:rFonts w:ascii="Times New Roman" w:eastAsia="Times New Roman" w:hAnsi="Times New Roman" w:cs="Times New Roman"/>
          <w:b/>
          <w:sz w:val="24"/>
          <w:szCs w:val="24"/>
        </w:rPr>
        <w:t>febru</w:t>
      </w:r>
      <w:r w:rsidRPr="00AC5E15" w:rsidR="00F929CD">
        <w:rPr>
          <w:rFonts w:ascii="Times New Roman" w:eastAsia="Times New Roman" w:hAnsi="Times New Roman" w:cs="Times New Roman"/>
          <w:b/>
          <w:sz w:val="24"/>
          <w:szCs w:val="24"/>
        </w:rPr>
        <w:t>ārim</w:t>
      </w: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5E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AC5E15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AC5E15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Pr="00AC5E15"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AC5E15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RPr="00AC5E15" w:rsidP="00807F3D" w14:paraId="31EE55F6" w14:textId="5041FD2D">
      <w:pPr>
        <w:pStyle w:val="ListParagraph"/>
        <w:numPr>
          <w:ilvl w:val="1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piedāvājumu paraksta ar drošu elektronisko parakstu un laika zīmogu vai </w:t>
      </w:r>
      <w:r w:rsidRPr="00AC5E15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AC5E15" w:rsidR="00CB1F1F">
        <w:t xml:space="preserve"> </w:t>
      </w:r>
      <w:r w:rsidRPr="00AC5E15" w:rsidR="0055668B">
        <w:rPr>
          <w:rFonts w:ascii="Times New Roman" w:hAnsi="Times New Roman" w:cs="Times New Roman"/>
          <w:sz w:val="24"/>
          <w:szCs w:val="24"/>
        </w:rPr>
        <w:t>elektroniskus</w:t>
      </w:r>
      <w:r w:rsidRPr="00AC5E15" w:rsidR="0055668B">
        <w:t xml:space="preserve"> </w:t>
      </w:r>
      <w:r w:rsidRPr="00AC5E15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Pr="00AC5E15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Pr="00AC5E15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Pr="00AC5E15"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C5E15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5E15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 w:rsidRPr="00AC5E15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C5E15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Pr="00AC5E15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C5E15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Pr="00AC5E15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Pr="00AC5E15"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Pr="00AC5E15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dokumenta </w:t>
      </w:r>
      <w:r w:rsidRPr="00AC5E15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faksimilattēli</w:t>
      </w:r>
      <w:r w:rsidRPr="00AC5E15"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C5E15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Pr="00AC5E15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C5E15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RPr="00AC5E15" w:rsidP="00807F3D" w14:paraId="1F64852D" w14:textId="689E6192">
      <w:pPr>
        <w:pStyle w:val="ListParagraph"/>
        <w:numPr>
          <w:ilvl w:val="1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šifrētus dokumentus. Ja iesniegti šifrēti dokumenti, </w:t>
      </w:r>
      <w:r w:rsidRPr="00AC5E15"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Pr="00AC5E15"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Pr="00AC5E15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Pr="00AC5E15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5E15"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Pr="00AC5E15"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Pr="00AC5E15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3C462E" w:rsidRPr="00AC5E15" w:rsidP="003C462E" w14:paraId="38F0EBF7" w14:textId="77777777">
      <w:pPr>
        <w:pStyle w:val="ListParagraph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EED" w:rsidRPr="00AC5E15" w:rsidP="003C462E" w14:paraId="6E55DBC6" w14:textId="6957981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Pr="00AC5E15"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929CD" w:rsidRPr="00AC5E15" w:rsidP="00F929CD" w14:paraId="4C7CE1AE" w14:textId="742742E2">
      <w:pPr>
        <w:pStyle w:val="ListParagraph"/>
        <w:widowControl w:val="0"/>
        <w:numPr>
          <w:ilvl w:val="1"/>
          <w:numId w:val="22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Līgums </w:t>
      </w:r>
      <w:r w:rsidRPr="00AC5E15">
        <w:rPr>
          <w:rFonts w:ascii="Times New Roman" w:eastAsia="Times New Roman" w:hAnsi="Times New Roman" w:cs="Times New Roman"/>
          <w:sz w:val="24"/>
          <w:szCs w:val="24"/>
        </w:rPr>
        <w:t>tiek īstenots atbilstoši faktiski nepieciešamajam apjomam par plānoto līguma summu, kura nepārsniedz 9999</w:t>
      </w:r>
      <w:r w:rsidR="00AC5E1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5E15">
        <w:rPr>
          <w:rFonts w:ascii="Times New Roman" w:eastAsia="Times New Roman" w:hAnsi="Times New Roman" w:cs="Times New Roman"/>
          <w:sz w:val="24"/>
          <w:szCs w:val="24"/>
        </w:rPr>
        <w:t xml:space="preserve">99 EUR bez PVN. </w:t>
      </w:r>
    </w:p>
    <w:p w:rsidR="00F929CD" w:rsidRPr="00AC5E15" w:rsidP="00807F3D" w14:paraId="476C066B" w14:textId="2D7E0E39">
      <w:pPr>
        <w:pStyle w:val="ListParagraph"/>
        <w:widowControl w:val="0"/>
        <w:numPr>
          <w:ilvl w:val="1"/>
          <w:numId w:val="22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sz w:val="24"/>
          <w:szCs w:val="24"/>
        </w:rPr>
        <w:t xml:space="preserve">Pasūtītājs līguma ietvaros nav saistīts ar visu plānoto līguma summu, un  līguma darbības </w:t>
      </w:r>
      <w:r w:rsidRPr="00AC5E15">
        <w:rPr>
          <w:rFonts w:ascii="Times New Roman" w:eastAsia="Times New Roman" w:hAnsi="Times New Roman" w:cs="Times New Roman"/>
          <w:sz w:val="24"/>
          <w:szCs w:val="24"/>
        </w:rPr>
        <w:t xml:space="preserve">laikā var pasūtīt </w:t>
      </w:r>
      <w:r w:rsidRPr="00AC5E15" w:rsidR="006B6FB8">
        <w:rPr>
          <w:rFonts w:ascii="Times New Roman" w:eastAsia="Times New Roman" w:hAnsi="Times New Roman" w:cs="Times New Roman"/>
          <w:sz w:val="24"/>
          <w:szCs w:val="24"/>
        </w:rPr>
        <w:t>pakalpojumus</w:t>
      </w:r>
      <w:r w:rsidRPr="00AC5E15">
        <w:rPr>
          <w:rFonts w:ascii="Times New Roman" w:eastAsia="Times New Roman" w:hAnsi="Times New Roman" w:cs="Times New Roman"/>
          <w:sz w:val="24"/>
          <w:szCs w:val="24"/>
        </w:rPr>
        <w:t xml:space="preserve"> par mazāku summu, atbilstoši faktiski nepieciešamajam apjomam.</w:t>
      </w:r>
    </w:p>
    <w:p w:rsidR="00F929CD" w:rsidRPr="00AC5E15" w:rsidP="00807F3D" w14:paraId="41475579" w14:textId="77777777">
      <w:pPr>
        <w:pStyle w:val="ListParagraph"/>
        <w:widowControl w:val="0"/>
        <w:numPr>
          <w:ilvl w:val="1"/>
          <w:numId w:val="22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Līguma izpildes laiks ir </w:t>
      </w:r>
      <w:r w:rsidRPr="00AC5E15">
        <w:rPr>
          <w:rFonts w:ascii="Times New Roman" w:eastAsia="Times New Roman" w:hAnsi="Times New Roman" w:cs="Times New Roman"/>
          <w:sz w:val="24"/>
          <w:szCs w:val="24"/>
        </w:rPr>
        <w:t>36 (trīsdesmit seši) mēneši no līguma spēkā stāšanās dienas vai līdz plānotās līguma summas izlietojumam, atkarībā no tā, kurš no nosacījumiem iestājas pirmais.</w:t>
      </w:r>
    </w:p>
    <w:p w:rsidR="00F929CD" w:rsidRPr="00AC5E15" w:rsidP="00807F3D" w14:paraId="7EF32EE6" w14:textId="10DEB8CE">
      <w:pPr>
        <w:pStyle w:val="ListParagraph"/>
        <w:widowControl w:val="0"/>
        <w:numPr>
          <w:ilvl w:val="1"/>
          <w:numId w:val="22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sz w:val="24"/>
          <w:szCs w:val="24"/>
        </w:rPr>
        <w:t>Izgatavotās preces tiek piegādātas uz adresi Uzvaras iela 6, Bauska, Bauskas novads.</w:t>
      </w:r>
      <w:r w:rsidRPr="00AC5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E15" w:rsidR="00CC2102">
        <w:rPr>
          <w:rFonts w:ascii="Times New Roman" w:eastAsia="Times New Roman" w:hAnsi="Times New Roman" w:cs="Times New Roman"/>
          <w:sz w:val="24"/>
          <w:szCs w:val="24"/>
        </w:rPr>
        <w:t>Par citu preču saņemšanas vietu Pasūtītājs un Izpildītājs savstarpēji vienojas.</w:t>
      </w:r>
    </w:p>
    <w:p w:rsidR="00E2085E" w:rsidRPr="00AC5E15" w:rsidP="00807F3D" w14:paraId="34050935" w14:textId="569CAD75">
      <w:pPr>
        <w:pStyle w:val="ListParagraph"/>
        <w:widowControl w:val="0"/>
        <w:numPr>
          <w:ilvl w:val="1"/>
          <w:numId w:val="22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C5E15" w:rsidR="00635002">
        <w:rPr>
          <w:rFonts w:ascii="Times New Roman" w:eastAsia="Times New Roman" w:hAnsi="Times New Roman" w:cs="Times New Roman"/>
          <w:sz w:val="24"/>
          <w:szCs w:val="24"/>
        </w:rPr>
        <w:t>īgums ar pēcapmaksu</w:t>
      </w:r>
      <w:r w:rsidRPr="00AC5E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5E15" w:rsidR="00635002">
        <w:rPr>
          <w:rFonts w:ascii="Times New Roman" w:eastAsia="Times New Roman" w:hAnsi="Times New Roman" w:cs="Times New Roman"/>
          <w:sz w:val="24"/>
          <w:szCs w:val="24"/>
        </w:rPr>
        <w:t xml:space="preserve"> Apmaksa tiek veikta </w:t>
      </w:r>
      <w:r w:rsidRPr="00AC5E15" w:rsidR="00E12F89">
        <w:rPr>
          <w:rFonts w:ascii="Times New Roman" w:eastAsia="Times New Roman" w:hAnsi="Times New Roman" w:cs="Times New Roman"/>
          <w:sz w:val="24"/>
          <w:szCs w:val="24"/>
        </w:rPr>
        <w:t>pa daļām</w:t>
      </w:r>
      <w:r w:rsidRPr="00AC5E15" w:rsidR="00635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79537589"/>
      <w:r w:rsidRPr="00AC5E15" w:rsidR="00635002">
        <w:rPr>
          <w:rFonts w:ascii="Times New Roman" w:eastAsia="Times New Roman" w:hAnsi="Times New Roman" w:cs="Times New Roman"/>
          <w:sz w:val="24"/>
          <w:szCs w:val="24"/>
        </w:rPr>
        <w:t xml:space="preserve">10 (desmit) darba dienu laikā pēc </w:t>
      </w:r>
      <w:r w:rsidRPr="00AC5E15" w:rsidR="00BB4EC5">
        <w:rPr>
          <w:rFonts w:ascii="Times New Roman" w:eastAsia="Times New Roman" w:hAnsi="Times New Roman" w:cs="Times New Roman"/>
          <w:sz w:val="24"/>
          <w:szCs w:val="24"/>
        </w:rPr>
        <w:t>faktiski veiktās piegādes</w:t>
      </w:r>
      <w:r w:rsidRPr="00AC5E15" w:rsidR="00B80B04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Pr="00AC5E15" w:rsidR="00BB4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E15" w:rsidR="00635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E15" w:rsidR="00960FEA">
        <w:rPr>
          <w:rFonts w:ascii="Times New Roman" w:eastAsia="Times New Roman" w:hAnsi="Times New Roman" w:cs="Times New Roman"/>
          <w:sz w:val="24"/>
          <w:szCs w:val="24"/>
        </w:rPr>
        <w:t xml:space="preserve">nodošanas - </w:t>
      </w:r>
      <w:r w:rsidRPr="00AC5E15" w:rsidR="00635002">
        <w:rPr>
          <w:rFonts w:ascii="Times New Roman" w:eastAsia="Times New Roman" w:hAnsi="Times New Roman" w:cs="Times New Roman"/>
          <w:sz w:val="24"/>
          <w:szCs w:val="24"/>
        </w:rPr>
        <w:t xml:space="preserve">pieņemšanas akta abpusējas parakstīšanas dienas un rēķina saņemšanas, pārskaitot naudu </w:t>
      </w:r>
      <w:r w:rsidRPr="00AC5E15" w:rsidR="00CC2102"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 w:rsidRPr="00AC5E15" w:rsidR="00635002">
        <w:rPr>
          <w:rFonts w:ascii="Times New Roman" w:eastAsia="Times New Roman" w:hAnsi="Times New Roman" w:cs="Times New Roman"/>
          <w:sz w:val="24"/>
          <w:szCs w:val="24"/>
        </w:rPr>
        <w:t>Izpildītāja</w:t>
      </w:r>
      <w:r w:rsidRPr="00AC5E15" w:rsidR="0088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E15" w:rsidR="00635002">
        <w:rPr>
          <w:rFonts w:ascii="Times New Roman" w:eastAsia="Times New Roman" w:hAnsi="Times New Roman" w:cs="Times New Roman"/>
          <w:sz w:val="24"/>
          <w:szCs w:val="24"/>
        </w:rPr>
        <w:t>norādīt</w:t>
      </w:r>
      <w:r w:rsidRPr="00AC5E15" w:rsidR="008807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5E15" w:rsidR="00635002">
        <w:rPr>
          <w:rFonts w:ascii="Times New Roman" w:eastAsia="Times New Roman" w:hAnsi="Times New Roman" w:cs="Times New Roman"/>
          <w:sz w:val="24"/>
          <w:szCs w:val="24"/>
        </w:rPr>
        <w:t xml:space="preserve"> bankas kont</w:t>
      </w:r>
      <w:r w:rsidRPr="00AC5E15" w:rsidR="0088072B">
        <w:rPr>
          <w:rFonts w:ascii="Times New Roman" w:eastAsia="Times New Roman" w:hAnsi="Times New Roman" w:cs="Times New Roman"/>
          <w:sz w:val="24"/>
          <w:szCs w:val="24"/>
        </w:rPr>
        <w:t>u;</w:t>
      </w:r>
      <w:bookmarkEnd w:id="1"/>
    </w:p>
    <w:p w:rsidR="002C78EB" w:rsidRPr="00AC5E15" w:rsidP="002C78EB" w14:paraId="2CFDA27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C5E15" w:rsidP="00E2085E" w14:paraId="4F1CB199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RPr="00AC5E15" w:rsidP="00807F3D" w14:paraId="1AD60849" w14:textId="4C05746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AC5E15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Pr="00AC5E15"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5E15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Pr="00AC5E15"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5E15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Pr="00AC5E15"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AC5E15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Pr="00AC5E15" w:rsidR="00F929CD">
        <w:rPr>
          <w:rFonts w:ascii="Times New Roman" w:eastAsia="Times New Roman" w:hAnsi="Times New Roman" w:cs="Times New Roman"/>
          <w:sz w:val="24"/>
          <w:szCs w:val="24"/>
        </w:rPr>
        <w:t>s pakalpojumus</w:t>
      </w:r>
      <w:r w:rsidRPr="00AC5E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5E15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C5E15" w:rsidP="00E2085E" w14:paraId="200899DC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C5E15" w:rsidP="003C462E" w14:paraId="05034F63" w14:textId="2DAD27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Pr="00AC5E15"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RPr="00AC5E15" w:rsidP="00807F3D" w14:paraId="6B0940DC" w14:textId="3C360339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AC5E15">
        <w:rPr>
          <w:rFonts w:ascii="Times New Roman" w:hAnsi="Times New Roman"/>
          <w:sz w:val="24"/>
          <w:szCs w:val="24"/>
        </w:rPr>
        <w:t xml:space="preserve">Pieteikums dalībai </w:t>
      </w:r>
      <w:r w:rsidRPr="00AC5E15" w:rsidR="007140D7">
        <w:rPr>
          <w:rFonts w:ascii="Times New Roman" w:hAnsi="Times New Roman"/>
          <w:sz w:val="24"/>
          <w:szCs w:val="24"/>
        </w:rPr>
        <w:t>cenu aptaujā</w:t>
      </w:r>
      <w:r w:rsidRPr="00AC5E15">
        <w:rPr>
          <w:rFonts w:ascii="Times New Roman" w:hAnsi="Times New Roman"/>
          <w:sz w:val="24"/>
          <w:szCs w:val="24"/>
        </w:rPr>
        <w:t xml:space="preserve">, </w:t>
      </w:r>
      <w:r w:rsidRPr="00AC5E15">
        <w:rPr>
          <w:rFonts w:ascii="Times New Roman" w:hAnsi="Times New Roman"/>
          <w:bCs/>
          <w:sz w:val="24"/>
          <w:szCs w:val="24"/>
        </w:rPr>
        <w:t xml:space="preserve">atbilstoši </w:t>
      </w:r>
      <w:r w:rsidRPr="00AC5E15" w:rsidR="0053096D">
        <w:rPr>
          <w:rFonts w:ascii="Times New Roman" w:hAnsi="Times New Roman"/>
          <w:bCs/>
          <w:sz w:val="24"/>
          <w:szCs w:val="24"/>
        </w:rPr>
        <w:t>2</w:t>
      </w:r>
      <w:r w:rsidRPr="00AC5E15">
        <w:rPr>
          <w:rFonts w:ascii="Times New Roman" w:hAnsi="Times New Roman"/>
          <w:bCs/>
          <w:sz w:val="24"/>
          <w:szCs w:val="24"/>
        </w:rPr>
        <w:t>.pielikumam</w:t>
      </w:r>
      <w:r w:rsidRPr="00AC5E15" w:rsidR="00967FC1">
        <w:rPr>
          <w:rFonts w:ascii="Times New Roman" w:hAnsi="Times New Roman"/>
          <w:sz w:val="24"/>
          <w:szCs w:val="24"/>
        </w:rPr>
        <w:t>;</w:t>
      </w:r>
    </w:p>
    <w:p w:rsidR="00895EED" w:rsidRPr="00AC5E15" w:rsidP="00807F3D" w14:paraId="5D0A2517" w14:textId="5DE1EB99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AC5E15">
        <w:rPr>
          <w:rFonts w:ascii="Times New Roman" w:hAnsi="Times New Roman"/>
          <w:sz w:val="24"/>
          <w:szCs w:val="24"/>
        </w:rPr>
        <w:t>Finanšu piedāvājums</w:t>
      </w:r>
      <w:r w:rsidRPr="00AC5E15" w:rsidR="00D6366A">
        <w:rPr>
          <w:rFonts w:ascii="Times New Roman" w:hAnsi="Times New Roman"/>
          <w:sz w:val="24"/>
          <w:szCs w:val="24"/>
        </w:rPr>
        <w:t xml:space="preserve">, atbilstoši </w:t>
      </w:r>
      <w:r w:rsidRPr="00AC5E15" w:rsidR="008F2AD2">
        <w:rPr>
          <w:rFonts w:ascii="Times New Roman" w:hAnsi="Times New Roman"/>
          <w:sz w:val="24"/>
          <w:szCs w:val="24"/>
        </w:rPr>
        <w:t>3</w:t>
      </w:r>
      <w:r w:rsidRPr="00AC5E15" w:rsidR="00D6366A">
        <w:rPr>
          <w:rFonts w:ascii="Times New Roman" w:hAnsi="Times New Roman"/>
          <w:sz w:val="24"/>
          <w:szCs w:val="24"/>
        </w:rPr>
        <w:t>.pielikumam.</w:t>
      </w:r>
    </w:p>
    <w:p w:rsidR="00967FC1" w:rsidRPr="00AC5E15" w:rsidP="00967FC1" w14:paraId="693DD638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895EED" w:rsidRPr="00AC5E15" w:rsidP="003C462E" w14:paraId="04500DA5" w14:textId="1753D87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CC2102" w:rsidRPr="00AC5E15" w:rsidP="00CC2102" w14:paraId="4D014583" w14:textId="77777777">
      <w:pPr>
        <w:pStyle w:val="ListParagraph"/>
        <w:numPr>
          <w:ilvl w:val="1"/>
          <w:numId w:val="1"/>
        </w:numPr>
        <w:spacing w:before="60"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E15">
        <w:rPr>
          <w:rFonts w:ascii="Times New Roman" w:hAnsi="Times New Roman" w:cs="Times New Roman"/>
          <w:color w:val="000000"/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:rsidR="00CC2102" w:rsidRPr="00AC5E15" w:rsidP="00CC2102" w14:paraId="44D48CCE" w14:textId="77777777">
      <w:pPr>
        <w:pStyle w:val="ListParagraph"/>
        <w:numPr>
          <w:ilvl w:val="1"/>
          <w:numId w:val="1"/>
        </w:numPr>
        <w:spacing w:before="60"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E15">
        <w:rPr>
          <w:rFonts w:ascii="Times New Roman" w:hAnsi="Times New Roman" w:cs="Times New Roman"/>
          <w:color w:val="000000"/>
          <w:sz w:val="24"/>
          <w:szCs w:val="24"/>
        </w:rPr>
        <w:t>Piedāvājuma izvēles kritērijs ir saimnieciski visizdevīgākais piedāvājums ar vislielāko punktu skaitu, kuru veido kritēriju novērtējumu summa.</w:t>
      </w:r>
    </w:p>
    <w:p w:rsidR="00CC2102" w:rsidRPr="00AC5E15" w:rsidP="00CC2102" w14:paraId="292A88FD" w14:textId="77777777">
      <w:pPr>
        <w:pStyle w:val="ListParagraph"/>
        <w:numPr>
          <w:ilvl w:val="1"/>
          <w:numId w:val="1"/>
        </w:numPr>
        <w:spacing w:before="60"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E15">
        <w:rPr>
          <w:rFonts w:ascii="Times New Roman" w:hAnsi="Times New Roman" w:cs="Times New Roman"/>
          <w:b/>
          <w:sz w:val="24"/>
          <w:szCs w:val="24"/>
        </w:rPr>
        <w:t>Saimnieciski visizdevīgākā piedāvājuma izvēles kritēriji un to skaitliskās vērtības</w:t>
      </w:r>
      <w:r w:rsidRPr="00AC5E15">
        <w:rPr>
          <w:rFonts w:ascii="Times New Roman" w:hAnsi="Times New Roman" w:cs="Times New Roman"/>
          <w:color w:val="000000"/>
          <w:sz w:val="24"/>
          <w:szCs w:val="24"/>
        </w:rPr>
        <w:t xml:space="preserve"> (piedāvājums, kas ir saņēmis lielāko punktu skaitu, tiek atzīts par saimnieciski izdevīgāko):</w:t>
      </w:r>
    </w:p>
    <w:tbl>
      <w:tblPr>
        <w:tblW w:w="8897" w:type="dxa"/>
        <w:tblInd w:w="421" w:type="dxa"/>
        <w:tblLayout w:type="fixed"/>
        <w:tblLook w:val="04A0"/>
      </w:tblPr>
      <w:tblGrid>
        <w:gridCol w:w="708"/>
        <w:gridCol w:w="2410"/>
        <w:gridCol w:w="1387"/>
        <w:gridCol w:w="4392"/>
      </w:tblGrid>
      <w:tr w14:paraId="63040531" w14:textId="77777777" w:rsidTr="00807F3D">
        <w:tblPrEx>
          <w:tblW w:w="8897" w:type="dxa"/>
          <w:tblInd w:w="421" w:type="dxa"/>
          <w:tblLayout w:type="fixed"/>
          <w:tblLook w:val="04A0"/>
        </w:tblPrEx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2102" w:rsidRPr="00AC5E15" w:rsidP="00807F3D" w14:paraId="5FD616B1" w14:textId="77777777">
            <w:pPr>
              <w:widowControl w:val="0"/>
              <w:snapToGrid w:val="0"/>
              <w:spacing w:after="0"/>
              <w:ind w:left="29" w:hanging="29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AC5E15">
              <w:rPr>
                <w:rFonts w:ascii="Times New Roman" w:hAnsi="Times New Roman" w:cs="Times New Roman"/>
                <w:b/>
                <w:bCs/>
                <w:lang w:eastAsia="ar-SA"/>
              </w:rPr>
              <w:t>Nr.</w:t>
            </w:r>
          </w:p>
          <w:p w:rsidR="00CC2102" w:rsidRPr="00AC5E15" w:rsidP="00807F3D" w14:paraId="33317AC3" w14:textId="77777777">
            <w:pPr>
              <w:widowControl w:val="0"/>
              <w:snapToGrid w:val="0"/>
              <w:spacing w:after="0"/>
              <w:ind w:left="360" w:hanging="331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AC5E15">
              <w:rPr>
                <w:rFonts w:ascii="Times New Roman" w:hAnsi="Times New Roman" w:cs="Times New Roman"/>
                <w:b/>
                <w:bCs/>
                <w:lang w:eastAsia="ar-SA"/>
              </w:rPr>
              <w:t>p.k.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102" w:rsidRPr="00AC5E15" w:rsidP="00626B24" w14:paraId="0C3F6B5A" w14:textId="77777777">
            <w:pPr>
              <w:widowControl w:val="0"/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AC5E15">
              <w:rPr>
                <w:rFonts w:ascii="Times New Roman" w:hAnsi="Times New Roman" w:cs="Times New Roman"/>
                <w:b/>
                <w:bCs/>
                <w:lang w:eastAsia="ar-SA"/>
              </w:rPr>
              <w:t>Vērtēšanas kritērijs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102" w:rsidRPr="00AC5E15" w:rsidP="00626B24" w14:paraId="78060D5F" w14:textId="77777777">
            <w:pPr>
              <w:widowControl w:val="0"/>
              <w:snapToGri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AC5E15">
              <w:rPr>
                <w:rFonts w:ascii="Times New Roman" w:hAnsi="Times New Roman" w:cs="Times New Roman"/>
                <w:b/>
              </w:rPr>
              <w:t>Maksimālais punktu skaits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102" w:rsidRPr="00AC5E15" w:rsidP="00626B24" w14:paraId="1B3BDFC3" w14:textId="77777777">
            <w:pPr>
              <w:widowControl w:val="0"/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AC5E15">
              <w:rPr>
                <w:rFonts w:ascii="Times New Roman" w:hAnsi="Times New Roman" w:cs="Times New Roman"/>
                <w:b/>
                <w:bCs/>
                <w:lang w:eastAsia="ar-SA"/>
              </w:rPr>
              <w:t>Vērtēšanas metodika</w:t>
            </w:r>
          </w:p>
        </w:tc>
      </w:tr>
      <w:tr w14:paraId="12128220" w14:textId="77777777" w:rsidTr="00807F3D">
        <w:tblPrEx>
          <w:tblW w:w="8897" w:type="dxa"/>
          <w:tblInd w:w="421" w:type="dxa"/>
          <w:tblLayout w:type="fixed"/>
          <w:tblLook w:val="04A0"/>
        </w:tblPrEx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2102" w:rsidRPr="00AC5E15" w:rsidP="00626B24" w14:paraId="2C482256" w14:textId="77777777">
            <w:pPr>
              <w:widowControl w:val="0"/>
              <w:snapToGrid w:val="0"/>
              <w:jc w:val="center"/>
              <w:outlineLvl w:val="0"/>
              <w:rPr>
                <w:rFonts w:ascii="Times New Roman" w:hAnsi="Times New Roman" w:cs="Times New Roman"/>
                <w:lang w:eastAsia="ar-SA"/>
              </w:rPr>
            </w:pPr>
            <w:r w:rsidRPr="00AC5E15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2102" w:rsidRPr="00AC5E15" w:rsidP="00626B24" w14:paraId="665A088B" w14:textId="77777777">
            <w:pPr>
              <w:widowControl w:val="0"/>
              <w:snapToGrid w:val="0"/>
              <w:outlineLvl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AC5E15">
              <w:rPr>
                <w:rFonts w:ascii="Times New Roman" w:hAnsi="Times New Roman" w:cs="Times New Roman"/>
              </w:rPr>
              <w:t>Finanšu piedāvājumā uzskaitīto vienības cenu  kopsumma, EUR bez PVN (A)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102" w:rsidRPr="00AC5E15" w:rsidP="00626B24" w14:paraId="2706AB64" w14:textId="77777777">
            <w:pPr>
              <w:widowControl w:val="0"/>
              <w:snapToGri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/>
                <w:lang w:eastAsia="zh-CN"/>
              </w:rPr>
            </w:pPr>
            <w:r w:rsidRPr="00AC5E15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102" w:rsidRPr="00AC5E15" w:rsidP="00626B24" w14:paraId="45E9EE93" w14:textId="77777777">
            <w:pPr>
              <w:ind w:left="63"/>
              <w:rPr>
                <w:rFonts w:ascii="Times New Roman" w:hAnsi="Times New Roman" w:cs="Times New Roman"/>
              </w:rPr>
            </w:pPr>
            <w:r w:rsidRPr="00AC5E15">
              <w:rPr>
                <w:rFonts w:ascii="Times New Roman" w:hAnsi="Times New Roman" w:cs="Times New Roman"/>
                <w:b/>
              </w:rPr>
              <w:t xml:space="preserve">A = </w:t>
            </w:r>
            <w:r w:rsidRPr="00AC5E15">
              <w:rPr>
                <w:rFonts w:ascii="Times New Roman" w:hAnsi="Times New Roman" w:cs="Times New Roman"/>
                <w:b/>
              </w:rPr>
              <w:t>Ax</w:t>
            </w:r>
            <w:r w:rsidRPr="00AC5E15">
              <w:rPr>
                <w:rFonts w:ascii="Times New Roman" w:hAnsi="Times New Roman" w:cs="Times New Roman"/>
                <w:b/>
              </w:rPr>
              <w:t xml:space="preserve"> / </w:t>
            </w:r>
            <w:r w:rsidRPr="00AC5E15">
              <w:rPr>
                <w:rFonts w:ascii="Times New Roman" w:hAnsi="Times New Roman" w:cs="Times New Roman"/>
                <w:b/>
              </w:rPr>
              <w:t>Ay</w:t>
            </w:r>
            <w:r w:rsidRPr="00AC5E15">
              <w:rPr>
                <w:rFonts w:ascii="Times New Roman" w:hAnsi="Times New Roman" w:cs="Times New Roman"/>
                <w:b/>
              </w:rPr>
              <w:t xml:space="preserve"> * 80,</w:t>
            </w:r>
            <w:r w:rsidRPr="00AC5E15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AC5E15">
              <w:rPr>
                <w:rFonts w:ascii="Times New Roman" w:hAnsi="Times New Roman" w:cs="Times New Roman"/>
              </w:rPr>
              <w:t>kur:</w:t>
            </w:r>
          </w:p>
          <w:p w:rsidR="00CC2102" w:rsidRPr="00AC5E15" w:rsidP="00626B24" w14:paraId="3A724FAD" w14:textId="77777777">
            <w:pPr>
              <w:ind w:left="63"/>
              <w:rPr>
                <w:rFonts w:ascii="Times New Roman" w:hAnsi="Times New Roman" w:cs="Times New Roman"/>
              </w:rPr>
            </w:pPr>
            <w:r w:rsidRPr="00AC5E15">
              <w:rPr>
                <w:rFonts w:ascii="Times New Roman" w:hAnsi="Times New Roman" w:cs="Times New Roman"/>
              </w:rPr>
              <w:t>Ax</w:t>
            </w:r>
            <w:r w:rsidRPr="00AC5E15">
              <w:rPr>
                <w:rFonts w:ascii="Times New Roman" w:hAnsi="Times New Roman" w:cs="Times New Roman"/>
              </w:rPr>
              <w:t xml:space="preserve"> - </w:t>
            </w:r>
            <w:r w:rsidRPr="00AC5E15">
              <w:rPr>
                <w:rFonts w:ascii="Times New Roman" w:hAnsi="Times New Roman" w:cs="Times New Roman"/>
                <w:iCs/>
              </w:rPr>
              <w:t>zemākā vienību cenu summa</w:t>
            </w:r>
            <w:r w:rsidRPr="00AC5E15">
              <w:rPr>
                <w:rFonts w:ascii="Times New Roman" w:hAnsi="Times New Roman" w:cs="Times New Roman"/>
              </w:rPr>
              <w:t>;</w:t>
            </w:r>
          </w:p>
          <w:p w:rsidR="00CC2102" w:rsidRPr="00AC5E15" w:rsidP="00626B24" w14:paraId="4E676442" w14:textId="77777777">
            <w:pPr>
              <w:ind w:left="63"/>
              <w:rPr>
                <w:rFonts w:ascii="Times New Roman" w:hAnsi="Times New Roman" w:cs="Times New Roman"/>
              </w:rPr>
            </w:pPr>
            <w:r w:rsidRPr="00AC5E15">
              <w:rPr>
                <w:rFonts w:ascii="Times New Roman" w:hAnsi="Times New Roman" w:cs="Times New Roman"/>
              </w:rPr>
              <w:t>Ay</w:t>
            </w:r>
            <w:r w:rsidRPr="00AC5E15">
              <w:rPr>
                <w:rFonts w:ascii="Times New Roman" w:hAnsi="Times New Roman" w:cs="Times New Roman"/>
              </w:rPr>
              <w:t xml:space="preserve"> - vērtējamā </w:t>
            </w:r>
            <w:r w:rsidRPr="00AC5E15">
              <w:rPr>
                <w:rFonts w:ascii="Times New Roman" w:hAnsi="Times New Roman" w:cs="Times New Roman"/>
                <w:iCs/>
              </w:rPr>
              <w:t>vienību cenu summa</w:t>
            </w:r>
            <w:r w:rsidRPr="00AC5E15">
              <w:rPr>
                <w:rFonts w:ascii="Times New Roman" w:hAnsi="Times New Roman" w:cs="Times New Roman"/>
              </w:rPr>
              <w:t>;</w:t>
            </w:r>
          </w:p>
          <w:p w:rsidR="00CC2102" w:rsidRPr="00AC5E15" w:rsidP="00626B24" w14:paraId="6F7E0B98" w14:textId="77777777">
            <w:pPr>
              <w:widowControl w:val="0"/>
              <w:snapToGrid w:val="0"/>
              <w:ind w:left="63"/>
              <w:outlineLvl w:val="0"/>
              <w:rPr>
                <w:rFonts w:ascii="Times New Roman" w:hAnsi="Times New Roman" w:cs="Times New Roman"/>
              </w:rPr>
            </w:pPr>
            <w:r w:rsidRPr="00AC5E15">
              <w:rPr>
                <w:rFonts w:ascii="Times New Roman" w:hAnsi="Times New Roman" w:cs="Times New Roman"/>
              </w:rPr>
              <w:t>A- vērtējamā kritērija iegūtais punktu skaits</w:t>
            </w:r>
          </w:p>
          <w:p w:rsidR="00CC2102" w:rsidRPr="00AC5E15" w:rsidP="00626B24" w14:paraId="518FBB55" w14:textId="77777777">
            <w:pPr>
              <w:pStyle w:val="Index1"/>
              <w:ind w:left="63" w:firstLine="0"/>
            </w:pPr>
            <w:r w:rsidRPr="00AC5E15">
              <w:t>Apgrieztās proporcionalitātes princips</w:t>
            </w:r>
          </w:p>
        </w:tc>
      </w:tr>
      <w:tr w14:paraId="435548DB" w14:textId="77777777" w:rsidTr="00807F3D">
        <w:tblPrEx>
          <w:tblW w:w="8897" w:type="dxa"/>
          <w:tblInd w:w="421" w:type="dxa"/>
          <w:tblLayout w:type="fixed"/>
          <w:tblLook w:val="04A0"/>
        </w:tblPrEx>
        <w:trPr>
          <w:trHeight w:val="8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102" w:rsidRPr="00AC5E15" w:rsidP="00626B24" w14:paraId="6B16BBB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AC5E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2102" w:rsidRPr="00AC5E15" w:rsidP="00626B24" w14:paraId="622C8797" w14:textId="0D4D4C80">
            <w:pPr>
              <w:tabs>
                <w:tab w:val="left" w:pos="912"/>
              </w:tabs>
              <w:ind w:left="-48"/>
              <w:rPr>
                <w:rFonts w:ascii="Times New Roman" w:hAnsi="Times New Roman" w:cs="Times New Roman"/>
              </w:rPr>
            </w:pPr>
            <w:r w:rsidRPr="00AC5E15">
              <w:rPr>
                <w:rFonts w:ascii="Times New Roman" w:hAnsi="Times New Roman" w:cs="Times New Roman"/>
              </w:rPr>
              <w:t>Atlaide  pakalpojumiem kuri nav iekļauti piedāvājumā, % (B)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2102" w:rsidRPr="00AC5E15" w:rsidP="00626B24" w14:paraId="615A8E89" w14:textId="77777777">
            <w:pPr>
              <w:keepNext/>
              <w:widowControl w:val="0"/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caps/>
                <w:lang w:eastAsia="ar-SA"/>
              </w:rPr>
            </w:pPr>
            <w:r w:rsidRPr="00AC5E15">
              <w:rPr>
                <w:rFonts w:ascii="Times New Roman" w:hAnsi="Times New Roman" w:cs="Times New Roman"/>
                <w:b/>
                <w:caps/>
                <w:lang w:eastAsia="ar-SA"/>
              </w:rPr>
              <w:t>20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102" w:rsidRPr="00AC5E15" w:rsidP="00626B24" w14:paraId="6A1B0013" w14:textId="77777777">
            <w:pPr>
              <w:ind w:left="12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AC5E15">
              <w:rPr>
                <w:rFonts w:ascii="Times New Roman" w:hAnsi="Times New Roman" w:cs="Times New Roman"/>
                <w:b/>
              </w:rPr>
              <w:t xml:space="preserve">B = </w:t>
            </w:r>
            <w:r w:rsidRPr="00AC5E15">
              <w:rPr>
                <w:rFonts w:ascii="Times New Roman" w:hAnsi="Times New Roman" w:cs="Times New Roman"/>
                <w:b/>
              </w:rPr>
              <w:t>Bx</w:t>
            </w:r>
            <w:r w:rsidRPr="00AC5E15">
              <w:rPr>
                <w:rFonts w:ascii="Times New Roman" w:hAnsi="Times New Roman" w:cs="Times New Roman"/>
                <w:b/>
              </w:rPr>
              <w:t xml:space="preserve"> / </w:t>
            </w:r>
            <w:r w:rsidRPr="00AC5E15">
              <w:rPr>
                <w:rFonts w:ascii="Times New Roman" w:hAnsi="Times New Roman" w:cs="Times New Roman"/>
                <w:b/>
              </w:rPr>
              <w:t>By</w:t>
            </w:r>
            <w:r w:rsidRPr="00AC5E15">
              <w:rPr>
                <w:rFonts w:ascii="Times New Roman" w:hAnsi="Times New Roman" w:cs="Times New Roman"/>
                <w:b/>
              </w:rPr>
              <w:t xml:space="preserve"> * 20, </w:t>
            </w:r>
            <w:r w:rsidRPr="00AC5E15">
              <w:rPr>
                <w:rFonts w:ascii="Times New Roman" w:hAnsi="Times New Roman" w:cs="Times New Roman"/>
              </w:rPr>
              <w:t>kur:</w:t>
            </w:r>
          </w:p>
          <w:p w:rsidR="00CC2102" w:rsidRPr="00AC5E15" w:rsidP="00626B24" w14:paraId="28DEBEBB" w14:textId="77777777">
            <w:pPr>
              <w:ind w:left="12"/>
              <w:rPr>
                <w:rFonts w:ascii="Times New Roman" w:hAnsi="Times New Roman" w:cs="Times New Roman"/>
              </w:rPr>
            </w:pPr>
            <w:r w:rsidRPr="00AC5E15">
              <w:rPr>
                <w:rFonts w:ascii="Times New Roman" w:hAnsi="Times New Roman" w:cs="Times New Roman"/>
              </w:rPr>
              <w:t>Bx</w:t>
            </w:r>
            <w:r w:rsidRPr="00AC5E15">
              <w:rPr>
                <w:rFonts w:ascii="Times New Roman" w:hAnsi="Times New Roman" w:cs="Times New Roman"/>
              </w:rPr>
              <w:t xml:space="preserve"> - vērtējamā atlaide;</w:t>
            </w:r>
          </w:p>
          <w:p w:rsidR="00CC2102" w:rsidRPr="00AC5E15" w:rsidP="00626B24" w14:paraId="0447E002" w14:textId="77777777">
            <w:pPr>
              <w:ind w:left="12" w:right="-108"/>
              <w:rPr>
                <w:rFonts w:ascii="Times New Roman" w:hAnsi="Times New Roman" w:cs="Times New Roman"/>
              </w:rPr>
            </w:pPr>
            <w:r w:rsidRPr="00AC5E15">
              <w:rPr>
                <w:rFonts w:ascii="Times New Roman" w:hAnsi="Times New Roman" w:cs="Times New Roman"/>
              </w:rPr>
              <w:t>By</w:t>
            </w:r>
            <w:r w:rsidRPr="00AC5E15">
              <w:rPr>
                <w:rFonts w:ascii="Times New Roman" w:hAnsi="Times New Roman" w:cs="Times New Roman"/>
              </w:rPr>
              <w:t xml:space="preserve"> - lielākā atlaide;</w:t>
            </w:r>
          </w:p>
          <w:p w:rsidR="00CC2102" w:rsidRPr="00AC5E15" w:rsidP="00626B24" w14:paraId="5469588F" w14:textId="77777777">
            <w:pPr>
              <w:widowControl w:val="0"/>
              <w:ind w:left="12"/>
              <w:jc w:val="both"/>
              <w:outlineLvl w:val="0"/>
              <w:rPr>
                <w:rFonts w:ascii="Times New Roman" w:hAnsi="Times New Roman" w:cs="Times New Roman"/>
              </w:rPr>
            </w:pPr>
            <w:r w:rsidRPr="00AC5E15">
              <w:rPr>
                <w:rFonts w:ascii="Times New Roman" w:hAnsi="Times New Roman" w:cs="Times New Roman"/>
              </w:rPr>
              <w:t>B - vērtējamā kritērija iegūtais punktu skaits</w:t>
            </w:r>
          </w:p>
          <w:p w:rsidR="00CC2102" w:rsidRPr="00AC5E15" w:rsidP="00626B24" w14:paraId="687749C0" w14:textId="77777777">
            <w:pPr>
              <w:pStyle w:val="Index1"/>
              <w:ind w:left="12" w:firstLine="0"/>
            </w:pPr>
            <w:r w:rsidRPr="00AC5E15">
              <w:t>Proporcionalitātes princips</w:t>
            </w:r>
          </w:p>
        </w:tc>
      </w:tr>
      <w:tr w14:paraId="51063784" w14:textId="77777777" w:rsidTr="00807F3D">
        <w:tblPrEx>
          <w:tblW w:w="8897" w:type="dxa"/>
          <w:tblInd w:w="421" w:type="dxa"/>
          <w:tblLayout w:type="fixed"/>
          <w:tblLook w:val="04A0"/>
        </w:tblPrEx>
        <w:trPr>
          <w:trHeight w:val="839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2102" w:rsidRPr="00AC5E15" w:rsidP="00626B24" w14:paraId="39D8C7EF" w14:textId="77777777">
            <w:pPr>
              <w:tabs>
                <w:tab w:val="left" w:pos="912"/>
              </w:tabs>
              <w:ind w:left="-48"/>
              <w:rPr>
                <w:rFonts w:ascii="Times New Roman" w:hAnsi="Times New Roman" w:cs="Times New Roman"/>
                <w:iCs/>
              </w:rPr>
            </w:pPr>
            <w:r w:rsidRPr="00AC5E15">
              <w:rPr>
                <w:rFonts w:ascii="Times New Roman" w:hAnsi="Times New Roman" w:cs="Times New Roman"/>
                <w:b/>
              </w:rPr>
              <w:t>Maksimālais iespējamais kopējais punktu skaits (P)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2102" w:rsidRPr="00AC5E15" w:rsidP="00626B24" w14:paraId="4C7AF583" w14:textId="77777777">
            <w:pPr>
              <w:keepNext/>
              <w:widowControl w:val="0"/>
              <w:snapToGrid w:val="0"/>
              <w:jc w:val="center"/>
              <w:outlineLvl w:val="0"/>
              <w:rPr>
                <w:rFonts w:ascii="Times New Roman" w:hAnsi="Times New Roman" w:cs="Times New Roman"/>
                <w:b/>
                <w:caps/>
                <w:lang w:eastAsia="ar-SA"/>
              </w:rPr>
            </w:pPr>
            <w:r w:rsidRPr="00AC5E15">
              <w:rPr>
                <w:rFonts w:ascii="Times New Roman" w:hAnsi="Times New Roman" w:cs="Times New Roman"/>
                <w:b/>
                <w:caps/>
                <w:lang w:eastAsia="ar-SA"/>
              </w:rPr>
              <w:t>100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102" w:rsidRPr="00AC5E15" w:rsidP="00626B24" w14:paraId="24298CB1" w14:textId="77777777">
            <w:pPr>
              <w:pStyle w:val="BodyText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val="lv-LV"/>
              </w:rPr>
            </w:pPr>
            <w:r w:rsidRPr="00AC5E15">
              <w:rPr>
                <w:rFonts w:ascii="Times New Roman" w:hAnsi="Times New Roman" w:cs="Times New Roman"/>
                <w:lang w:val="lv-LV"/>
              </w:rPr>
              <w:t>P=A+B</w:t>
            </w:r>
          </w:p>
          <w:p w:rsidR="00CC2102" w:rsidRPr="00AC5E15" w:rsidP="00626B24" w14:paraId="69071D91" w14:textId="77777777">
            <w:pPr>
              <w:pStyle w:val="BodyText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lv-LV"/>
              </w:rPr>
            </w:pPr>
            <w:r w:rsidRPr="00AC5E15">
              <w:rPr>
                <w:rFonts w:ascii="Times New Roman" w:hAnsi="Times New Roman" w:cs="Times New Roman"/>
                <w:lang w:val="lv-LV"/>
              </w:rPr>
              <w:t>Tiek summēts katra kritērija vērtējums, kas noapaļots līdz divām zīmēm aiz komata.</w:t>
            </w:r>
          </w:p>
        </w:tc>
      </w:tr>
    </w:tbl>
    <w:p w:rsidR="003C462E" w:rsidRPr="00AC5E15" w:rsidP="00E2085E" w14:paraId="3205A93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462E" w:rsidRPr="00AC5E15" w:rsidP="00E2085E" w14:paraId="3D40335A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462E" w:rsidRPr="00AC5E15" w:rsidP="00E2085E" w14:paraId="6349C7AF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085E" w:rsidRPr="00AC5E15" w:rsidP="00E2085E" w14:paraId="61DC1F0B" w14:textId="378ACE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5E15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AC5E15" w:rsidP="00E2085E" w14:paraId="549FD5B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5E15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AC5E15">
        <w:rPr>
          <w:rFonts w:ascii="Times New Roman" w:hAnsi="Times New Roman" w:cs="Times New Roman"/>
          <w:sz w:val="24"/>
          <w:szCs w:val="24"/>
        </w:rPr>
        <w:tab/>
      </w:r>
      <w:r w:rsidRPr="00AC5E15">
        <w:rPr>
          <w:rFonts w:ascii="Times New Roman" w:hAnsi="Times New Roman" w:cs="Times New Roman"/>
          <w:sz w:val="24"/>
          <w:szCs w:val="24"/>
        </w:rPr>
        <w:tab/>
      </w:r>
      <w:r w:rsidRPr="00AC5E15">
        <w:rPr>
          <w:rFonts w:ascii="Times New Roman" w:hAnsi="Times New Roman" w:cs="Times New Roman"/>
          <w:sz w:val="24"/>
          <w:szCs w:val="24"/>
        </w:rPr>
        <w:tab/>
      </w:r>
      <w:r w:rsidRPr="00AC5E15"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C5E15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AC5E15" w:rsidP="00895EED" w14:paraId="12D6BCD4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C5E15" w:rsidP="00895EED" w14:paraId="5316C158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C5E15" w:rsidP="00895EED" w14:paraId="2B042CE1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C5E15" w:rsidP="00895EED" w14:paraId="5A3A7A65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C5E15" w:rsidP="00895EED" w14:paraId="1076598C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C5E15" w:rsidP="00895EED" w14:paraId="27561612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C5E15" w:rsidP="00895EED" w14:paraId="2C996B96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C5E15" w:rsidP="00895EED" w14:paraId="14C11211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C5E15" w:rsidP="00895EED" w14:paraId="4DDECEF9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C5E15" w14:paraId="77B6F428" w14:textId="7777777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C5E15">
        <w:rPr>
          <w:rFonts w:ascii="Times New Roman" w:hAnsi="Times New Roman"/>
          <w:b/>
          <w:sz w:val="24"/>
          <w:szCs w:val="24"/>
        </w:rPr>
        <w:br w:type="page"/>
      </w:r>
    </w:p>
    <w:p w:rsidR="00895EED" w:rsidRPr="00AC5E15" w:rsidP="00895EED" w14:paraId="40C18A3B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C5E15">
        <w:rPr>
          <w:rFonts w:ascii="Times New Roman" w:hAnsi="Times New Roman"/>
          <w:b/>
          <w:sz w:val="24"/>
          <w:szCs w:val="24"/>
        </w:rPr>
        <w:t>1.pielikums</w:t>
      </w:r>
    </w:p>
    <w:p w:rsidR="00BA3689" w:rsidRPr="00AC5E15" w:rsidP="002E7492" w14:paraId="52FDBBDB" w14:textId="22A4FE8F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C5E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AC5E15" w:rsidP="002E7492" w14:paraId="578EBE39" w14:textId="535084A6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C5E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APTAUJĀ</w:t>
      </w:r>
    </w:p>
    <w:p w:rsidR="002E7492" w:rsidRPr="00AC5E15" w:rsidP="00F929CD" w14:paraId="052ECAF8" w14:textId="5C76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5E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“</w:t>
      </w:r>
      <w:r w:rsidRPr="00AC5E15" w:rsidR="003C462E">
        <w:rPr>
          <w:rFonts w:ascii="Times New Roman" w:eastAsia="Times New Roman" w:hAnsi="Times New Roman" w:cs="Times New Roman"/>
          <w:b/>
          <w:sz w:val="28"/>
          <w:szCs w:val="28"/>
        </w:rPr>
        <w:t>Apdrukas</w:t>
      </w:r>
      <w:r w:rsidRPr="00AC5E15" w:rsidR="003C462E">
        <w:rPr>
          <w:rFonts w:ascii="Times New Roman" w:eastAsia="Times New Roman" w:hAnsi="Times New Roman" w:cs="Times New Roman"/>
          <w:b/>
          <w:sz w:val="28"/>
          <w:szCs w:val="28"/>
        </w:rPr>
        <w:t xml:space="preserve"> pakalpojumi</w:t>
      </w:r>
      <w:r w:rsidRPr="00AC5E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”,</w:t>
      </w:r>
    </w:p>
    <w:p w:rsidR="007E3FDE" w:rsidRPr="00AC5E15" w:rsidP="002E7492" w14:paraId="56983D81" w14:textId="6D359A63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C5E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identifikācijas numurs BAP/2-1/202</w:t>
      </w:r>
      <w:r w:rsidRPr="00AC5E15" w:rsidR="008F2AD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</w:t>
      </w:r>
      <w:r w:rsidRPr="00AC5E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</w:t>
      </w:r>
      <w:r w:rsidRPr="00AC5E15" w:rsidR="003C462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</w:t>
      </w:r>
    </w:p>
    <w:p w:rsidR="007E3FDE" w:rsidRPr="00AC5E15" w:rsidP="00EA27DE" w14:paraId="297C5036" w14:textId="77777777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2" w:name="_Hlk164845401"/>
    </w:p>
    <w:bookmarkEnd w:id="2"/>
    <w:p w:rsidR="00FB631C" w:rsidRPr="00AC5E15" w:rsidP="00BA3689" w14:paraId="01FB14EA" w14:textId="5F690751">
      <w:pPr>
        <w:numPr>
          <w:ilvl w:val="0"/>
          <w:numId w:val="24"/>
        </w:numPr>
        <w:tabs>
          <w:tab w:val="left" w:pos="300"/>
          <w:tab w:val="left" w:pos="2115"/>
        </w:tabs>
        <w:spacing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>Pirms P</w:t>
      </w:r>
      <w:r w:rsidR="00916FBD">
        <w:rPr>
          <w:rFonts w:ascii="Times New Roman" w:eastAsia="Times New Roman" w:hAnsi="Times New Roman" w:cs="Times New Roman"/>
          <w:color w:val="000000"/>
          <w:sz w:val="24"/>
          <w:szCs w:val="24"/>
        </w:rPr>
        <w:t>akalpojuma</w:t>
      </w: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pasūtīšanas Pasūtītāja par Līguma izpildi atbildīgā persona vienojas ar Piegādātāja atbildīgo personu par konkrētu Preču izgatavošanu, Preču tehnisko specifikāciju, daudzumu, cenu un izgatavošanas termiņu. Vienošanās notiek elektroniski e-pasta sarakstē</w:t>
      </w:r>
      <w:r w:rsidR="00916F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2238" w:rsidRPr="00AC5E15" w:rsidP="00BA3689" w14:paraId="7A4034D3" w14:textId="1A92CCF7">
      <w:pPr>
        <w:numPr>
          <w:ilvl w:val="0"/>
          <w:numId w:val="24"/>
        </w:numPr>
        <w:tabs>
          <w:tab w:val="left" w:pos="300"/>
          <w:tab w:val="left" w:pos="2115"/>
        </w:tabs>
        <w:spacing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Pasūtījuma maksimālais izpildes termiņš 30 dienas. Garāks termiņš pieļaujams </w:t>
      </w:r>
      <w:r w:rsidRPr="00AC5E15" w:rsidR="006B6FB8">
        <w:rPr>
          <w:rFonts w:ascii="Times New Roman" w:eastAsia="Times New Roman" w:hAnsi="Times New Roman" w:cs="Times New Roman"/>
          <w:color w:val="000000"/>
          <w:sz w:val="24"/>
          <w:szCs w:val="24"/>
        </w:rPr>
        <w:t>apjomīg</w:t>
      </w:r>
      <w:r w:rsidR="00916FB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C5E15" w:rsidR="006B6FB8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5E15" w:rsidR="00916FBD"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</w:t>
      </w:r>
      <w:r w:rsidR="00916FB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C5E15" w:rsidR="00916FBD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16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</w:t>
      </w:r>
      <w:r w:rsidRPr="00AC5E15" w:rsidR="00916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6FB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>recēm, kuri nav iekļauti Finanšu piedāvājumā.</w:t>
      </w:r>
    </w:p>
    <w:p w:rsidR="00AB2665" w:rsidRPr="00AC5E15" w:rsidP="00BA3689" w14:paraId="1E457F8D" w14:textId="2D7212C2">
      <w:pPr>
        <w:numPr>
          <w:ilvl w:val="0"/>
          <w:numId w:val="24"/>
        </w:numPr>
        <w:tabs>
          <w:tab w:val="left" w:pos="300"/>
          <w:tab w:val="left" w:pos="2115"/>
        </w:tabs>
        <w:spacing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E15">
        <w:rPr>
          <w:rFonts w:ascii="Times New Roman" w:eastAsia="Times New Roman" w:hAnsi="Times New Roman" w:cs="Times New Roman"/>
          <w:color w:val="000000"/>
          <w:sz w:val="24"/>
          <w:szCs w:val="24"/>
        </w:rPr>
        <w:t>Piegādes adrese : Uzvaras iela 6, Bauska, Bauskas nov., LV-3901</w:t>
      </w:r>
    </w:p>
    <w:p w:rsidR="00B32238" w:rsidRPr="00AC5E15" w:rsidP="00BF3D82" w14:paraId="2413EED1" w14:textId="77777777">
      <w:pPr>
        <w:tabs>
          <w:tab w:val="left" w:pos="300"/>
          <w:tab w:val="left" w:pos="2115"/>
        </w:tabs>
        <w:spacing w:after="16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2665" w:rsidRPr="00AC5E15" w:rsidP="00BF3D82" w14:paraId="704EAB68" w14:textId="77777777">
      <w:pPr>
        <w:tabs>
          <w:tab w:val="left" w:pos="300"/>
          <w:tab w:val="left" w:pos="2115"/>
        </w:tabs>
        <w:spacing w:after="16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114ACE">
      <w:footerReference w:type="default" r:id="rId6"/>
      <w:footerReference w:type="first" r:id="rId7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C5E15" w14:paraId="1B831A62" w14:textId="19C8C570">
    <w:r w:rsidRPr="00AC5E15">
      <w:t xml:space="preserve">         </w:t>
    </w:r>
  </w:p>
  <w:p w:rsidR="00E1381C" w:rsidRPr="00AC5E15" w14:paraId="0F97EEC8" w14:textId="34AD03B2">
    <w:pPr>
      <w:jc w:val="center"/>
    </w:pPr>
  </w:p>
  <w:p w:rsidR="002C78EB" w:rsidRPr="00AC5E15" w:rsidP="002C78EB" w14:paraId="2906F7B5" w14:textId="540B5F89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C5E15" w14:paraId="4A9E7E13" w14:textId="77777777">
    <w:r w:rsidRPr="00AC5E15">
      <w:t xml:space="preserve">          </w:t>
    </w:r>
    <w:r w:rsidRPr="00AC5E15"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1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D1C16F7"/>
    <w:multiLevelType w:val="multilevel"/>
    <w:tmpl w:val="46A4678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8094038">
    <w:abstractNumId w:val="27"/>
  </w:num>
  <w:num w:numId="2" w16cid:durableId="931939788">
    <w:abstractNumId w:val="12"/>
  </w:num>
  <w:num w:numId="3" w16cid:durableId="1793861523">
    <w:abstractNumId w:val="20"/>
  </w:num>
  <w:num w:numId="4" w16cid:durableId="1548450009">
    <w:abstractNumId w:val="4"/>
  </w:num>
  <w:num w:numId="5" w16cid:durableId="2037585423">
    <w:abstractNumId w:val="10"/>
  </w:num>
  <w:num w:numId="6" w16cid:durableId="906039392">
    <w:abstractNumId w:val="0"/>
  </w:num>
  <w:num w:numId="7" w16cid:durableId="1231380438">
    <w:abstractNumId w:val="22"/>
  </w:num>
  <w:num w:numId="8" w16cid:durableId="727531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5"/>
  </w:num>
  <w:num w:numId="12" w16cid:durableId="1668902463">
    <w:abstractNumId w:val="1"/>
  </w:num>
  <w:num w:numId="13" w16cid:durableId="639501345">
    <w:abstractNumId w:val="24"/>
  </w:num>
  <w:num w:numId="14" w16cid:durableId="1889876078">
    <w:abstractNumId w:val="6"/>
  </w:num>
  <w:num w:numId="15" w16cid:durableId="554975294">
    <w:abstractNumId w:val="13"/>
  </w:num>
  <w:num w:numId="16" w16cid:durableId="1241408255">
    <w:abstractNumId w:val="3"/>
  </w:num>
  <w:num w:numId="17" w16cid:durableId="277684872">
    <w:abstractNumId w:val="14"/>
  </w:num>
  <w:num w:numId="18" w16cid:durableId="1700004139">
    <w:abstractNumId w:val="16"/>
  </w:num>
  <w:num w:numId="19" w16cid:durableId="1918323745">
    <w:abstractNumId w:val="23"/>
  </w:num>
  <w:num w:numId="20" w16cid:durableId="1296178614">
    <w:abstractNumId w:val="18"/>
  </w:num>
  <w:num w:numId="21" w16cid:durableId="1765614112">
    <w:abstractNumId w:val="26"/>
  </w:num>
  <w:num w:numId="22" w16cid:durableId="663749638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7"/>
  </w:num>
  <w:num w:numId="24" w16cid:durableId="94593039">
    <w:abstractNumId w:val="11"/>
  </w:num>
  <w:num w:numId="25" w16cid:durableId="148353959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8"/>
  </w:num>
  <w:num w:numId="27" w16cid:durableId="1363479932">
    <w:abstractNumId w:val="8"/>
  </w:num>
  <w:num w:numId="28" w16cid:durableId="1933199007">
    <w:abstractNumId w:val="11"/>
  </w:num>
  <w:num w:numId="29" w16cid:durableId="1871599573">
    <w:abstractNumId w:val="17"/>
  </w:num>
  <w:num w:numId="30" w16cid:durableId="1545026317">
    <w:abstractNumId w:val="19"/>
  </w:num>
  <w:num w:numId="31" w16cid:durableId="12862798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2F52"/>
    <w:rsid w:val="00005476"/>
    <w:rsid w:val="00021844"/>
    <w:rsid w:val="000270D0"/>
    <w:rsid w:val="000334F1"/>
    <w:rsid w:val="000421D5"/>
    <w:rsid w:val="00045378"/>
    <w:rsid w:val="00053FE8"/>
    <w:rsid w:val="00065FCA"/>
    <w:rsid w:val="00076CC4"/>
    <w:rsid w:val="000947FA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662A6"/>
    <w:rsid w:val="001669D1"/>
    <w:rsid w:val="0019146C"/>
    <w:rsid w:val="00191745"/>
    <w:rsid w:val="0019332A"/>
    <w:rsid w:val="001B6EF4"/>
    <w:rsid w:val="001C1421"/>
    <w:rsid w:val="001D7B51"/>
    <w:rsid w:val="001E1CCA"/>
    <w:rsid w:val="001E4408"/>
    <w:rsid w:val="001E6ED1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50A42"/>
    <w:rsid w:val="002700B3"/>
    <w:rsid w:val="00283B88"/>
    <w:rsid w:val="00284831"/>
    <w:rsid w:val="0028728B"/>
    <w:rsid w:val="002902DC"/>
    <w:rsid w:val="00291616"/>
    <w:rsid w:val="002A18A0"/>
    <w:rsid w:val="002B4611"/>
    <w:rsid w:val="002B69D0"/>
    <w:rsid w:val="002C214B"/>
    <w:rsid w:val="002C78EB"/>
    <w:rsid w:val="002D3E89"/>
    <w:rsid w:val="002E1947"/>
    <w:rsid w:val="002E7492"/>
    <w:rsid w:val="002F4257"/>
    <w:rsid w:val="00306FCC"/>
    <w:rsid w:val="003129F8"/>
    <w:rsid w:val="00320B41"/>
    <w:rsid w:val="00327818"/>
    <w:rsid w:val="00330393"/>
    <w:rsid w:val="00332AFC"/>
    <w:rsid w:val="00343BDA"/>
    <w:rsid w:val="003454B8"/>
    <w:rsid w:val="00355E44"/>
    <w:rsid w:val="00370179"/>
    <w:rsid w:val="00370B43"/>
    <w:rsid w:val="003733D0"/>
    <w:rsid w:val="00373803"/>
    <w:rsid w:val="00375B41"/>
    <w:rsid w:val="003C462E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23A62"/>
    <w:rsid w:val="00445811"/>
    <w:rsid w:val="004465D5"/>
    <w:rsid w:val="00450E8C"/>
    <w:rsid w:val="00465EC7"/>
    <w:rsid w:val="00473885"/>
    <w:rsid w:val="004821B3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500EB9"/>
    <w:rsid w:val="0050767D"/>
    <w:rsid w:val="0051061C"/>
    <w:rsid w:val="005168D4"/>
    <w:rsid w:val="00516D46"/>
    <w:rsid w:val="00517AAC"/>
    <w:rsid w:val="0053096D"/>
    <w:rsid w:val="0053127C"/>
    <w:rsid w:val="005319D9"/>
    <w:rsid w:val="0053799F"/>
    <w:rsid w:val="0055668B"/>
    <w:rsid w:val="00570F71"/>
    <w:rsid w:val="00587386"/>
    <w:rsid w:val="005A0750"/>
    <w:rsid w:val="005A0C1B"/>
    <w:rsid w:val="005B21FD"/>
    <w:rsid w:val="005C5D87"/>
    <w:rsid w:val="005E6011"/>
    <w:rsid w:val="00601166"/>
    <w:rsid w:val="00605BCA"/>
    <w:rsid w:val="00607242"/>
    <w:rsid w:val="00607922"/>
    <w:rsid w:val="0060794E"/>
    <w:rsid w:val="006154A5"/>
    <w:rsid w:val="00626AFC"/>
    <w:rsid w:val="00626B24"/>
    <w:rsid w:val="00632DF3"/>
    <w:rsid w:val="00635002"/>
    <w:rsid w:val="00635E59"/>
    <w:rsid w:val="00637E71"/>
    <w:rsid w:val="00640884"/>
    <w:rsid w:val="00642519"/>
    <w:rsid w:val="006436F2"/>
    <w:rsid w:val="00650183"/>
    <w:rsid w:val="00651E9A"/>
    <w:rsid w:val="00664F9A"/>
    <w:rsid w:val="006764CC"/>
    <w:rsid w:val="006829EF"/>
    <w:rsid w:val="00695C77"/>
    <w:rsid w:val="006A2326"/>
    <w:rsid w:val="006A6C71"/>
    <w:rsid w:val="006A72D3"/>
    <w:rsid w:val="006B6FB8"/>
    <w:rsid w:val="006D1038"/>
    <w:rsid w:val="006D2CF2"/>
    <w:rsid w:val="006E1D12"/>
    <w:rsid w:val="006E41FC"/>
    <w:rsid w:val="007140D7"/>
    <w:rsid w:val="0073606F"/>
    <w:rsid w:val="00745EAE"/>
    <w:rsid w:val="00747302"/>
    <w:rsid w:val="0075115D"/>
    <w:rsid w:val="00755A13"/>
    <w:rsid w:val="00772A7F"/>
    <w:rsid w:val="00780969"/>
    <w:rsid w:val="00787BCA"/>
    <w:rsid w:val="00791691"/>
    <w:rsid w:val="00795BA1"/>
    <w:rsid w:val="007A02E4"/>
    <w:rsid w:val="007A5327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07F3D"/>
    <w:rsid w:val="008113E5"/>
    <w:rsid w:val="00817162"/>
    <w:rsid w:val="00836AB0"/>
    <w:rsid w:val="00854B95"/>
    <w:rsid w:val="00860887"/>
    <w:rsid w:val="0088072B"/>
    <w:rsid w:val="008953A0"/>
    <w:rsid w:val="00895EED"/>
    <w:rsid w:val="008A2105"/>
    <w:rsid w:val="008A2FA7"/>
    <w:rsid w:val="008B2405"/>
    <w:rsid w:val="008C6F14"/>
    <w:rsid w:val="008C7C7E"/>
    <w:rsid w:val="008D089C"/>
    <w:rsid w:val="008D1926"/>
    <w:rsid w:val="008D6A72"/>
    <w:rsid w:val="008E2ED3"/>
    <w:rsid w:val="008E773E"/>
    <w:rsid w:val="008F2AD2"/>
    <w:rsid w:val="00916F0E"/>
    <w:rsid w:val="00916FBD"/>
    <w:rsid w:val="0092374E"/>
    <w:rsid w:val="00925ADF"/>
    <w:rsid w:val="00926F38"/>
    <w:rsid w:val="00955F4A"/>
    <w:rsid w:val="00960FEA"/>
    <w:rsid w:val="00967FC1"/>
    <w:rsid w:val="00974AA3"/>
    <w:rsid w:val="00993F5A"/>
    <w:rsid w:val="009A1369"/>
    <w:rsid w:val="009A57D8"/>
    <w:rsid w:val="009B3233"/>
    <w:rsid w:val="009B55A1"/>
    <w:rsid w:val="009C33B5"/>
    <w:rsid w:val="009C519B"/>
    <w:rsid w:val="009C66BE"/>
    <w:rsid w:val="009E0980"/>
    <w:rsid w:val="009F4495"/>
    <w:rsid w:val="009F5539"/>
    <w:rsid w:val="00A008F2"/>
    <w:rsid w:val="00A41BBA"/>
    <w:rsid w:val="00A42016"/>
    <w:rsid w:val="00A44AFD"/>
    <w:rsid w:val="00A5179E"/>
    <w:rsid w:val="00A54ECA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B2665"/>
    <w:rsid w:val="00AC093E"/>
    <w:rsid w:val="00AC5E15"/>
    <w:rsid w:val="00AC640F"/>
    <w:rsid w:val="00AC6B89"/>
    <w:rsid w:val="00AD31CB"/>
    <w:rsid w:val="00AF29E4"/>
    <w:rsid w:val="00AF42C6"/>
    <w:rsid w:val="00AF7395"/>
    <w:rsid w:val="00B14309"/>
    <w:rsid w:val="00B177C9"/>
    <w:rsid w:val="00B2262B"/>
    <w:rsid w:val="00B32238"/>
    <w:rsid w:val="00B6478E"/>
    <w:rsid w:val="00B80B04"/>
    <w:rsid w:val="00B833ED"/>
    <w:rsid w:val="00B85BEC"/>
    <w:rsid w:val="00B96A7B"/>
    <w:rsid w:val="00B96E5B"/>
    <w:rsid w:val="00BA21D0"/>
    <w:rsid w:val="00BA3689"/>
    <w:rsid w:val="00BB4EC5"/>
    <w:rsid w:val="00BB5366"/>
    <w:rsid w:val="00BB7C03"/>
    <w:rsid w:val="00BD41F4"/>
    <w:rsid w:val="00BF118D"/>
    <w:rsid w:val="00BF3D82"/>
    <w:rsid w:val="00C06952"/>
    <w:rsid w:val="00C2449F"/>
    <w:rsid w:val="00C2450F"/>
    <w:rsid w:val="00C32350"/>
    <w:rsid w:val="00C34557"/>
    <w:rsid w:val="00C36FF5"/>
    <w:rsid w:val="00C519CB"/>
    <w:rsid w:val="00C66A02"/>
    <w:rsid w:val="00C837AF"/>
    <w:rsid w:val="00C97E82"/>
    <w:rsid w:val="00CA6F56"/>
    <w:rsid w:val="00CB1159"/>
    <w:rsid w:val="00CB1F1F"/>
    <w:rsid w:val="00CB4EC8"/>
    <w:rsid w:val="00CC2102"/>
    <w:rsid w:val="00CC4E0F"/>
    <w:rsid w:val="00CD70F1"/>
    <w:rsid w:val="00CE35E3"/>
    <w:rsid w:val="00D07B84"/>
    <w:rsid w:val="00D10EF2"/>
    <w:rsid w:val="00D16D43"/>
    <w:rsid w:val="00D2210A"/>
    <w:rsid w:val="00D23632"/>
    <w:rsid w:val="00D3002D"/>
    <w:rsid w:val="00D3072E"/>
    <w:rsid w:val="00D35227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828D1"/>
    <w:rsid w:val="00D95CED"/>
    <w:rsid w:val="00D962FD"/>
    <w:rsid w:val="00DA15D5"/>
    <w:rsid w:val="00DA57A5"/>
    <w:rsid w:val="00DA70F3"/>
    <w:rsid w:val="00DA7862"/>
    <w:rsid w:val="00DB5748"/>
    <w:rsid w:val="00DD1C3F"/>
    <w:rsid w:val="00DD3F37"/>
    <w:rsid w:val="00DF1435"/>
    <w:rsid w:val="00DF1790"/>
    <w:rsid w:val="00DF7063"/>
    <w:rsid w:val="00E0053A"/>
    <w:rsid w:val="00E042AD"/>
    <w:rsid w:val="00E066DB"/>
    <w:rsid w:val="00E1177B"/>
    <w:rsid w:val="00E12F89"/>
    <w:rsid w:val="00E1381C"/>
    <w:rsid w:val="00E162C3"/>
    <w:rsid w:val="00E2085E"/>
    <w:rsid w:val="00E26A32"/>
    <w:rsid w:val="00E27985"/>
    <w:rsid w:val="00E41D31"/>
    <w:rsid w:val="00E44509"/>
    <w:rsid w:val="00E46283"/>
    <w:rsid w:val="00E46C2A"/>
    <w:rsid w:val="00E5089C"/>
    <w:rsid w:val="00E81003"/>
    <w:rsid w:val="00E821B2"/>
    <w:rsid w:val="00E86DD7"/>
    <w:rsid w:val="00E9474F"/>
    <w:rsid w:val="00EA27DE"/>
    <w:rsid w:val="00EE1B73"/>
    <w:rsid w:val="00EE4F24"/>
    <w:rsid w:val="00EE5E29"/>
    <w:rsid w:val="00F05C72"/>
    <w:rsid w:val="00F149CF"/>
    <w:rsid w:val="00F2184B"/>
    <w:rsid w:val="00F408EC"/>
    <w:rsid w:val="00F47DCF"/>
    <w:rsid w:val="00F70F54"/>
    <w:rsid w:val="00F8110F"/>
    <w:rsid w:val="00F929CD"/>
    <w:rsid w:val="00F93C6F"/>
    <w:rsid w:val="00FB631C"/>
    <w:rsid w:val="00FC172F"/>
    <w:rsid w:val="00FD0B0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88C2E"/>
  <w15:chartTrackingRefBased/>
  <w15:docId w15:val="{C83FB1E7-6136-40F8-A5EF-8BB3E4AB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mattekstsRakstz">
    <w:name w:val="Pamatteksts Rakstz."/>
    <w:aliases w:val="Body Text1 Rakstz.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PamattekstsRakstz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ce.skilina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3475</Words>
  <Characters>1982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PP-MEZOTNE</cp:lastModifiedBy>
  <cp:revision>5</cp:revision>
  <cp:lastPrinted>2024-10-03T07:49:00Z</cp:lastPrinted>
  <dcterms:created xsi:type="dcterms:W3CDTF">2025-01-16T14:34:00Z</dcterms:created>
  <dcterms:modified xsi:type="dcterms:W3CDTF">2025-01-27T08:05:00Z</dcterms:modified>
</cp:coreProperties>
</file>