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5448" w14:textId="7E5986D5" w:rsidR="00983D7E" w:rsidRDefault="00983D7E" w:rsidP="004C58B7">
      <w:pPr>
        <w:shd w:val="clear" w:color="auto" w:fill="FFFFFF"/>
        <w:spacing w:after="0" w:line="240" w:lineRule="auto"/>
        <w:jc w:val="center"/>
        <w:rPr>
          <w:rFonts w:ascii="Arial" w:eastAsia="Times New Roman" w:hAnsi="Arial" w:cs="Arial"/>
          <w:b/>
          <w:bCs/>
          <w:color w:val="414142"/>
          <w:sz w:val="27"/>
          <w:szCs w:val="27"/>
          <w:lang w:eastAsia="lv-LV"/>
        </w:rPr>
      </w:pPr>
      <w:r>
        <w:rPr>
          <w:rFonts w:ascii="Arial" w:eastAsia="Times New Roman" w:hAnsi="Arial" w:cs="Arial"/>
          <w:b/>
          <w:bCs/>
          <w:color w:val="414142"/>
          <w:sz w:val="27"/>
          <w:szCs w:val="27"/>
          <w:lang w:eastAsia="lv-LV"/>
        </w:rPr>
        <w:t xml:space="preserve">Ministru kabineta 02.06.2015 noteikumi Nr.279 </w:t>
      </w:r>
    </w:p>
    <w:p w14:paraId="6E682931" w14:textId="77777777" w:rsidR="00983D7E" w:rsidRDefault="00983D7E" w:rsidP="00983D7E">
      <w:pPr>
        <w:shd w:val="clear" w:color="auto" w:fill="FFFFFF"/>
        <w:spacing w:after="0" w:line="240" w:lineRule="auto"/>
        <w:jc w:val="center"/>
        <w:rPr>
          <w:rFonts w:ascii="Arial" w:eastAsia="Times New Roman" w:hAnsi="Arial" w:cs="Arial"/>
          <w:b/>
          <w:bCs/>
          <w:color w:val="414142"/>
          <w:sz w:val="27"/>
          <w:szCs w:val="27"/>
          <w:lang w:eastAsia="lv-LV"/>
        </w:rPr>
      </w:pPr>
      <w:r w:rsidRPr="00983D7E">
        <w:rPr>
          <w:rFonts w:ascii="Arial" w:eastAsia="Times New Roman" w:hAnsi="Arial" w:cs="Arial"/>
          <w:b/>
          <w:bCs/>
          <w:color w:val="414142"/>
          <w:sz w:val="27"/>
          <w:szCs w:val="27"/>
          <w:lang w:eastAsia="lv-LV"/>
        </w:rPr>
        <w:t>Gājēju pienākumi</w:t>
      </w:r>
    </w:p>
    <w:p w14:paraId="6D3827BC" w14:textId="77777777" w:rsidR="004C58B7" w:rsidRPr="00983D7E" w:rsidRDefault="004C58B7" w:rsidP="00983D7E">
      <w:pPr>
        <w:shd w:val="clear" w:color="auto" w:fill="FFFFFF"/>
        <w:spacing w:after="0" w:line="240" w:lineRule="auto"/>
        <w:jc w:val="center"/>
        <w:rPr>
          <w:rFonts w:ascii="Arial" w:eastAsia="Times New Roman" w:hAnsi="Arial" w:cs="Arial"/>
          <w:b/>
          <w:bCs/>
          <w:color w:val="414142"/>
          <w:sz w:val="27"/>
          <w:szCs w:val="27"/>
          <w:lang w:eastAsia="lv-LV"/>
        </w:rPr>
      </w:pPr>
    </w:p>
    <w:p w14:paraId="2D01313E"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0" w:name="p7"/>
      <w:bookmarkStart w:id="1" w:name="p-1280479"/>
      <w:bookmarkEnd w:id="0"/>
      <w:bookmarkEnd w:id="1"/>
      <w:r w:rsidRPr="00983D7E">
        <w:rPr>
          <w:rFonts w:ascii="Arial" w:eastAsia="Times New Roman" w:hAnsi="Arial" w:cs="Arial"/>
          <w:color w:val="414142"/>
          <w:sz w:val="20"/>
          <w:szCs w:val="20"/>
          <w:lang w:eastAsia="lv-LV"/>
        </w:rPr>
        <w:t>7. Gājējiem jāpārvietojas pa ietvi, gājēju ceļu, gājēju un velosipēdu ceļu vai kopīgu gājēju un velosipēdu ceļu, bet, ja to nav, – pa nomali. Ja ietves, gājēju ceļa, gājēju un velosipēdu ceļa, kopīga gājēju un velosipēdu ceļa vai nomales nav vai ja pa to pārvietoties nav iespējams, gājējiem ir atļauts pārvietoties pa brauktuves malu vienā rindā (pa ceļiem, kur ir sadalošā josla, – pa ārmalu). Ja uz ceļa netiek veikti darbi un atļautais braukšanas ātrums nepārsniedz 30 km/h, gājējiem atļauts pārvietoties pa brauktuves malu arī vairāk nekā vienā rindā, bet ne vairāk kā trīs rindās.</w:t>
      </w:r>
    </w:p>
    <w:p w14:paraId="21CAD57E"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4"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7D6CFE90"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 w:name="p8"/>
      <w:bookmarkStart w:id="3" w:name="p-1280480"/>
      <w:bookmarkEnd w:id="2"/>
      <w:bookmarkEnd w:id="3"/>
      <w:r w:rsidRPr="00983D7E">
        <w:rPr>
          <w:rFonts w:ascii="Arial" w:eastAsia="Times New Roman" w:hAnsi="Arial" w:cs="Arial"/>
          <w:color w:val="414142"/>
          <w:sz w:val="20"/>
          <w:szCs w:val="20"/>
          <w:lang w:eastAsia="lv-LV"/>
        </w:rPr>
        <w:t>8. Pārvietoties pa ietvi, gājēju ceļu, gājēju un velosipēdu ceļu, kopīgu gājēju un velosipēdu ceļu vai nomali, izmantojot skrituļslidas, skrituļdēļus u. tml. sporta vai atpūtas inventāru, atļauts, ja tas netraucē citus ceļu satiksmes dalībniekus. Šķērsot brauktuvi ar skrituļslidām, skrituļdēli u. tml. inventāru atļauts ar ātrumu, kas nepārsniedz gājēju pārvietošanās ātrumu.</w:t>
      </w:r>
    </w:p>
    <w:p w14:paraId="596ED891"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5"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0C770F11"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 w:name="p9"/>
      <w:bookmarkStart w:id="5" w:name="p-1280481"/>
      <w:bookmarkEnd w:id="4"/>
      <w:bookmarkEnd w:id="5"/>
      <w:r w:rsidRPr="00983D7E">
        <w:rPr>
          <w:rFonts w:ascii="Arial" w:eastAsia="Times New Roman" w:hAnsi="Arial" w:cs="Arial"/>
          <w:color w:val="414142"/>
          <w:sz w:val="20"/>
          <w:szCs w:val="20"/>
          <w:lang w:eastAsia="lv-LV"/>
        </w:rPr>
        <w:t xml:space="preserve">9. Gājējiem, kuri iet pa brauktuves malu vai nomali ārpus apdzīvotām vietām, jāpārvietojas pretim transportlīdzekļu braukšanas virzienam. Personām, kuras brauc </w:t>
      </w:r>
      <w:proofErr w:type="spellStart"/>
      <w:r w:rsidRPr="00983D7E">
        <w:rPr>
          <w:rFonts w:ascii="Arial" w:eastAsia="Times New Roman" w:hAnsi="Arial" w:cs="Arial"/>
          <w:color w:val="414142"/>
          <w:sz w:val="20"/>
          <w:szCs w:val="20"/>
          <w:lang w:eastAsia="lv-LV"/>
        </w:rPr>
        <w:t>ratiņkrēslā</w:t>
      </w:r>
      <w:proofErr w:type="spellEnd"/>
      <w:r w:rsidRPr="00983D7E">
        <w:rPr>
          <w:rFonts w:ascii="Arial" w:eastAsia="Times New Roman" w:hAnsi="Arial" w:cs="Arial"/>
          <w:color w:val="414142"/>
          <w:sz w:val="20"/>
          <w:szCs w:val="20"/>
          <w:lang w:eastAsia="lv-LV"/>
        </w:rPr>
        <w:t xml:space="preserve"> vai stumj motociklu, mopēdu, velosipēdu u. tml. pa brauktuves malu vai nomali, atļauts pārvietoties pa jebkuru ceļa pusi.</w:t>
      </w:r>
    </w:p>
    <w:p w14:paraId="4E89B13A"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6"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1360E4CD"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 w:name="p10"/>
      <w:bookmarkStart w:id="7" w:name="p-633302"/>
      <w:bookmarkEnd w:id="6"/>
      <w:bookmarkEnd w:id="7"/>
      <w:r w:rsidRPr="00983D7E">
        <w:rPr>
          <w:rFonts w:ascii="Arial" w:eastAsia="Times New Roman" w:hAnsi="Arial" w:cs="Arial"/>
          <w:color w:val="414142"/>
          <w:sz w:val="20"/>
          <w:szCs w:val="20"/>
          <w:lang w:eastAsia="lv-LV"/>
        </w:rPr>
        <w:t>10. Diennakts tumšajā laikā, ja ceļš nav pietiekami un vienmērīgi apgaismots, gājējiem, kas atrodas uz brauktuves vai nomales, jābūt tērptiem atstarojošā vestē vai apģērbā ar labi redzamiem gaismu atstarojoša materiāla elementiem.</w:t>
      </w:r>
    </w:p>
    <w:p w14:paraId="07364113"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(Grozīts ar MK </w:t>
      </w:r>
      <w:hyperlink r:id="rId7" w:tgtFrame="_blank" w:history="1">
        <w:r w:rsidRPr="00983D7E">
          <w:rPr>
            <w:rFonts w:ascii="Arial" w:eastAsia="Times New Roman" w:hAnsi="Arial" w:cs="Arial"/>
            <w:i/>
            <w:iCs/>
            <w:color w:val="0000FF"/>
            <w:sz w:val="20"/>
            <w:szCs w:val="20"/>
            <w:lang w:eastAsia="lv-LV"/>
          </w:rPr>
          <w:t>22.08.2017.</w:t>
        </w:r>
      </w:hyperlink>
      <w:r w:rsidRPr="00983D7E">
        <w:rPr>
          <w:rFonts w:ascii="Arial" w:eastAsia="Times New Roman" w:hAnsi="Arial" w:cs="Arial"/>
          <w:i/>
          <w:iCs/>
          <w:color w:val="414142"/>
          <w:sz w:val="20"/>
          <w:szCs w:val="20"/>
          <w:lang w:eastAsia="lv-LV"/>
        </w:rPr>
        <w:t> noteikumiem Nr. 496)</w:t>
      </w:r>
    </w:p>
    <w:p w14:paraId="476B3D02"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 w:name="p11"/>
      <w:bookmarkStart w:id="9" w:name="p-1280482"/>
      <w:bookmarkEnd w:id="8"/>
      <w:bookmarkEnd w:id="9"/>
      <w:r w:rsidRPr="00983D7E">
        <w:rPr>
          <w:rFonts w:ascii="Arial" w:eastAsia="Times New Roman" w:hAnsi="Arial" w:cs="Arial"/>
          <w:color w:val="414142"/>
          <w:sz w:val="20"/>
          <w:szCs w:val="20"/>
          <w:lang w:eastAsia="lv-LV"/>
        </w:rPr>
        <w:t>11. Organizētas cilvēku grupas drīkst pārvietoties tikai pa ceļa labo pusi transportlīdzekļu braukšanas virzienā grupā ne vairāk par četriem cilvēkiem rindā. Organizētās cilvēku grupas priekšā kreisajā pusē un aizmugurē kreisajā pusē jāatrodas personām atstarojošā vestē vai apģērbā ar labi redzamiem gaismu atstarojoša materiāla elementiem, bet diennakts tumšajā laikā un nepietiekamas redzamības apstākļos – papildus arī ar iedegtiem lukturiem: priekšā ar baltas gaismas lukturi, bet aizmugurē ar sarkanas gaismas lukturi.</w:t>
      </w:r>
    </w:p>
    <w:p w14:paraId="78105E06"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8"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26F40664"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0" w:name="p12"/>
      <w:bookmarkStart w:id="11" w:name="p-1280483"/>
      <w:bookmarkEnd w:id="10"/>
      <w:bookmarkEnd w:id="11"/>
      <w:r w:rsidRPr="00983D7E">
        <w:rPr>
          <w:rFonts w:ascii="Arial" w:eastAsia="Times New Roman" w:hAnsi="Arial" w:cs="Arial"/>
          <w:color w:val="414142"/>
          <w:sz w:val="20"/>
          <w:szCs w:val="20"/>
          <w:lang w:eastAsia="lv-LV"/>
        </w:rPr>
        <w:t>12. Bērnu grupas drīkst pārvietoties pa ietvēm, gājēju ceļiem, gājēju un velosipēdu ceļiem vai kopīgiem gājēju un velosipēdu ceļiem, bet, ja to nav, – tikai diennakts gaišajā laikā pa ceļa labās puses nomali transportlīdzekļu braukšanas virzienā kolonnā ne vairāk par diviem bērniem rindā. Bērnu grupas priekšā kreisajā pusē un aizmugurē kreisajā pusē jāatrodas pieaugušajiem atstarojošā vestē vai apģērbā ar labi redzamiem gaismu atstarojoša materiāla elementiem.</w:t>
      </w:r>
    </w:p>
    <w:p w14:paraId="7AA5E7B1"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9"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49B66870"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2" w:name="p13"/>
      <w:bookmarkStart w:id="13" w:name="p-1280484"/>
      <w:bookmarkEnd w:id="12"/>
      <w:bookmarkEnd w:id="13"/>
      <w:r w:rsidRPr="00983D7E">
        <w:rPr>
          <w:rFonts w:ascii="Arial" w:eastAsia="Times New Roman" w:hAnsi="Arial" w:cs="Arial"/>
          <w:color w:val="414142"/>
          <w:sz w:val="20"/>
          <w:szCs w:val="20"/>
          <w:lang w:eastAsia="lv-LV"/>
        </w:rPr>
        <w:t>13. Gājējiem brauktuve jāšķērso pa gājēju pārejām (pazemes vai virszemes), bet, ja to nav, – krustojumos pa ietvju vai nomaļu iedomāto turpinājumu. Ja gājēja redzamības zonā gājēju pārejas vai krustojuma nav, brauktuvi atļauts šķērsot taisnā leņķī attiecībā pret brauktuves malu, iepriekš pārliecinoties, ka netuvojas transportlīdzekļi.</w:t>
      </w:r>
    </w:p>
    <w:p w14:paraId="75D16355"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(MK </w:t>
      </w:r>
      <w:hyperlink r:id="rId10"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noteikumu Nr. 56 redakcijā)</w:t>
      </w:r>
    </w:p>
    <w:p w14:paraId="7CDC9B20"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 w:name="p14"/>
      <w:bookmarkStart w:id="15" w:name="p-552435"/>
      <w:bookmarkEnd w:id="14"/>
      <w:bookmarkEnd w:id="15"/>
      <w:r w:rsidRPr="00983D7E">
        <w:rPr>
          <w:rFonts w:ascii="Arial" w:eastAsia="Times New Roman" w:hAnsi="Arial" w:cs="Arial"/>
          <w:color w:val="414142"/>
          <w:sz w:val="20"/>
          <w:szCs w:val="20"/>
          <w:lang w:eastAsia="lv-LV"/>
        </w:rPr>
        <w:t>14. Vietās, kur ceļu satiksme tiek regulēta, gājējiem jāievēro satiksmes regulētāja vai gājēju luksofora signāli, bet, ja tādu nav, – transportlīdzekļu satiksmes regulēšanas luksofora (turpmāk – luksofors) signāli.</w:t>
      </w:r>
    </w:p>
    <w:p w14:paraId="36382684"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 w:name="p15"/>
      <w:bookmarkStart w:id="17" w:name="p-552436"/>
      <w:bookmarkEnd w:id="16"/>
      <w:bookmarkEnd w:id="17"/>
      <w:r w:rsidRPr="00983D7E">
        <w:rPr>
          <w:rFonts w:ascii="Arial" w:eastAsia="Times New Roman" w:hAnsi="Arial" w:cs="Arial"/>
          <w:color w:val="414142"/>
          <w:sz w:val="20"/>
          <w:szCs w:val="20"/>
          <w:lang w:eastAsia="lv-LV"/>
        </w:rPr>
        <w:lastRenderedPageBreak/>
        <w:t>15. Pirms brauktuves šķērsošanas pa gājēju pāreju vietās, kur satiksme netiek regulēta, gājējiem jānovērtē attālums līdz transportlīdzekļiem, kas tuvojas, kā arī jānovērtē to braukšanas ātrums un jāpārliecinās par drošību.</w:t>
      </w:r>
    </w:p>
    <w:p w14:paraId="232A7497"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8" w:name="p16"/>
      <w:bookmarkStart w:id="19" w:name="p-552437"/>
      <w:bookmarkEnd w:id="18"/>
      <w:bookmarkEnd w:id="19"/>
      <w:r w:rsidRPr="00983D7E">
        <w:rPr>
          <w:rFonts w:ascii="Arial" w:eastAsia="Times New Roman" w:hAnsi="Arial" w:cs="Arial"/>
          <w:color w:val="414142"/>
          <w:sz w:val="20"/>
          <w:szCs w:val="20"/>
          <w:lang w:eastAsia="lv-LV"/>
        </w:rPr>
        <w:t>16. Ārpus gājēju pārejas vietās, kur satiksme netiek regulēta, gājēji drīkst iziet uz brauktuves tikai pēc tam, kad ir novērtējuši attālumu līdz transport</w:t>
      </w:r>
      <w:r w:rsidRPr="00983D7E">
        <w:rPr>
          <w:rFonts w:ascii="Arial" w:eastAsia="Times New Roman" w:hAnsi="Arial" w:cs="Arial"/>
          <w:color w:val="414142"/>
          <w:sz w:val="20"/>
          <w:szCs w:val="20"/>
          <w:lang w:eastAsia="lv-LV"/>
        </w:rPr>
        <w:softHyphen/>
        <w:t>līdzekļiem, kas tuvojas, kā arī novērtējuši to braukšanas ātrumu un pārlieci</w:t>
      </w:r>
      <w:r w:rsidRPr="00983D7E">
        <w:rPr>
          <w:rFonts w:ascii="Arial" w:eastAsia="Times New Roman" w:hAnsi="Arial" w:cs="Arial"/>
          <w:color w:val="414142"/>
          <w:sz w:val="20"/>
          <w:szCs w:val="20"/>
          <w:lang w:eastAsia="lv-LV"/>
        </w:rPr>
        <w:softHyphen/>
        <w:t>nājušies, ka brauktuves šķērsošana nav bīstama un ka netiks traucēta transport</w:t>
      </w:r>
      <w:r w:rsidRPr="00983D7E">
        <w:rPr>
          <w:rFonts w:ascii="Arial" w:eastAsia="Times New Roman" w:hAnsi="Arial" w:cs="Arial"/>
          <w:color w:val="414142"/>
          <w:sz w:val="20"/>
          <w:szCs w:val="20"/>
          <w:lang w:eastAsia="lv-LV"/>
        </w:rPr>
        <w:softHyphen/>
        <w:t>līdzekļu satiksme.</w:t>
      </w:r>
    </w:p>
    <w:p w14:paraId="2EC78824"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0" w:name="p17"/>
      <w:bookmarkStart w:id="21" w:name="p-552438"/>
      <w:bookmarkEnd w:id="20"/>
      <w:bookmarkEnd w:id="21"/>
      <w:r w:rsidRPr="00983D7E">
        <w:rPr>
          <w:rFonts w:ascii="Arial" w:eastAsia="Times New Roman" w:hAnsi="Arial" w:cs="Arial"/>
          <w:color w:val="414142"/>
          <w:sz w:val="20"/>
          <w:szCs w:val="20"/>
          <w:lang w:eastAsia="lv-LV"/>
        </w:rPr>
        <w:t>17. Gājēji uz brauktuves nedrīkst kavēties vai bez vajadzības apstāties. Gājējiem, kuri nav paguvuši šķērsot brauktuvi, ja iespējams, jāapstājas uz "drošības saliņas". Gājēji drīkst turpināt šķērsot brauktuvi tikai pēc tam, kad ir pārliecinājušies, ka tas nav bīstami.</w:t>
      </w:r>
    </w:p>
    <w:p w14:paraId="37BEAB44"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 w:name="p18"/>
      <w:bookmarkStart w:id="23" w:name="p-1280485"/>
      <w:bookmarkEnd w:id="22"/>
      <w:bookmarkEnd w:id="23"/>
      <w:r w:rsidRPr="00983D7E">
        <w:rPr>
          <w:rFonts w:ascii="Arial" w:eastAsia="Times New Roman" w:hAnsi="Arial" w:cs="Arial"/>
          <w:color w:val="414142"/>
          <w:sz w:val="20"/>
          <w:szCs w:val="20"/>
          <w:lang w:eastAsia="lv-LV"/>
        </w:rPr>
        <w:t>18. Gājējiem aizliegts:</w:t>
      </w:r>
    </w:p>
    <w:p w14:paraId="28BD0F8B" w14:textId="77777777" w:rsidR="00983D7E" w:rsidRPr="00983D7E" w:rsidRDefault="00983D7E" w:rsidP="00983D7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983D7E">
        <w:rPr>
          <w:rFonts w:ascii="Arial" w:eastAsia="Times New Roman" w:hAnsi="Arial" w:cs="Arial"/>
          <w:color w:val="414142"/>
          <w:sz w:val="20"/>
          <w:szCs w:val="20"/>
          <w:lang w:eastAsia="lv-LV"/>
        </w:rPr>
        <w:t>18.1. šķērsot brauktuvi vietās, kur uzstādīti nožogojumi gājējiem vai ceļu nožogojumi, izņemot vietas, kur nožogojumos ir speciāli ierīkoti ceļa šķērsošanai paredzēti pārtraukumi;</w:t>
      </w:r>
    </w:p>
    <w:p w14:paraId="780A180A" w14:textId="77777777" w:rsidR="00983D7E" w:rsidRPr="00983D7E" w:rsidRDefault="00983D7E" w:rsidP="00983D7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983D7E">
        <w:rPr>
          <w:rFonts w:ascii="Arial" w:eastAsia="Times New Roman" w:hAnsi="Arial" w:cs="Arial"/>
          <w:color w:val="414142"/>
          <w:sz w:val="20"/>
          <w:szCs w:val="20"/>
          <w:lang w:eastAsia="lv-LV"/>
        </w:rPr>
        <w:t>18.2. šķērsot brauktuvi ārpus gājēju pārejas, ja brauktuvei ir četras vai vairāk braukšanas joslas un ja nav sadalošās joslas;</w:t>
      </w:r>
    </w:p>
    <w:p w14:paraId="364941F4" w14:textId="77777777" w:rsidR="00983D7E" w:rsidRPr="00983D7E" w:rsidRDefault="00983D7E" w:rsidP="00983D7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983D7E">
        <w:rPr>
          <w:rFonts w:ascii="Arial" w:eastAsia="Times New Roman" w:hAnsi="Arial" w:cs="Arial"/>
          <w:color w:val="414142"/>
          <w:sz w:val="20"/>
          <w:szCs w:val="20"/>
          <w:lang w:eastAsia="lv-LV"/>
        </w:rPr>
        <w:t>18.3. </w:t>
      </w:r>
      <w:r w:rsidRPr="00983D7E">
        <w:rPr>
          <w:rFonts w:ascii="Arial" w:eastAsia="Times New Roman" w:hAnsi="Arial" w:cs="Arial"/>
          <w:i/>
          <w:iCs/>
          <w:color w:val="414142"/>
          <w:sz w:val="20"/>
          <w:szCs w:val="20"/>
          <w:lang w:eastAsia="lv-LV"/>
        </w:rPr>
        <w:t>(svītrots ar MK </w:t>
      </w:r>
      <w:hyperlink r:id="rId11" w:tgtFrame="_blank" w:history="1">
        <w:r w:rsidRPr="00983D7E">
          <w:rPr>
            <w:rFonts w:ascii="Arial" w:eastAsia="Times New Roman" w:hAnsi="Arial" w:cs="Arial"/>
            <w:i/>
            <w:iCs/>
            <w:color w:val="16497B"/>
            <w:sz w:val="20"/>
            <w:szCs w:val="20"/>
            <w:lang w:eastAsia="lv-LV"/>
          </w:rPr>
          <w:t>16.01.2024.</w:t>
        </w:r>
      </w:hyperlink>
      <w:r w:rsidRPr="00983D7E">
        <w:rPr>
          <w:rFonts w:ascii="Arial" w:eastAsia="Times New Roman" w:hAnsi="Arial" w:cs="Arial"/>
          <w:i/>
          <w:iCs/>
          <w:color w:val="414142"/>
          <w:sz w:val="20"/>
          <w:szCs w:val="20"/>
          <w:lang w:eastAsia="lv-LV"/>
        </w:rPr>
        <w:t> noteikumiem Nr. 56)</w:t>
      </w:r>
      <w:r w:rsidRPr="00983D7E">
        <w:rPr>
          <w:rFonts w:ascii="Arial" w:eastAsia="Times New Roman" w:hAnsi="Arial" w:cs="Arial"/>
          <w:color w:val="414142"/>
          <w:sz w:val="20"/>
          <w:szCs w:val="20"/>
          <w:lang w:eastAsia="lv-LV"/>
        </w:rPr>
        <w:t>;</w:t>
      </w:r>
    </w:p>
    <w:p w14:paraId="3373ED1B" w14:textId="77777777" w:rsidR="00983D7E" w:rsidRPr="00983D7E" w:rsidRDefault="00983D7E" w:rsidP="00983D7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983D7E">
        <w:rPr>
          <w:rFonts w:ascii="Arial" w:eastAsia="Times New Roman" w:hAnsi="Arial" w:cs="Arial"/>
          <w:color w:val="414142"/>
          <w:sz w:val="20"/>
          <w:szCs w:val="20"/>
          <w:lang w:eastAsia="lv-LV"/>
        </w:rPr>
        <w:t>18.4. iziet uz brauktuves, nepārliecinoties par to, vai netuvojas transport</w:t>
      </w:r>
      <w:r w:rsidRPr="00983D7E">
        <w:rPr>
          <w:rFonts w:ascii="Arial" w:eastAsia="Times New Roman" w:hAnsi="Arial" w:cs="Arial"/>
          <w:color w:val="414142"/>
          <w:sz w:val="20"/>
          <w:szCs w:val="20"/>
          <w:lang w:eastAsia="lv-LV"/>
        </w:rPr>
        <w:softHyphen/>
        <w:t>līdzekļi, aiz stāvoša transportlīdzekļa vai cita šķēršļa, kas ierobežo redzamību.</w:t>
      </w:r>
    </w:p>
    <w:p w14:paraId="015BF8E2" w14:textId="77777777" w:rsidR="00983D7E" w:rsidRPr="00983D7E" w:rsidRDefault="00983D7E" w:rsidP="00983D7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983D7E">
        <w:rPr>
          <w:rFonts w:ascii="Arial" w:eastAsia="Times New Roman" w:hAnsi="Arial" w:cs="Arial"/>
          <w:i/>
          <w:iCs/>
          <w:color w:val="414142"/>
          <w:sz w:val="20"/>
          <w:szCs w:val="20"/>
          <w:lang w:eastAsia="lv-LV"/>
        </w:rPr>
        <w:t>(Grozīts ar MK </w:t>
      </w:r>
      <w:hyperlink r:id="rId12" w:tgtFrame="_blank" w:history="1">
        <w:r w:rsidRPr="00983D7E">
          <w:rPr>
            <w:rFonts w:ascii="Arial" w:eastAsia="Times New Roman" w:hAnsi="Arial" w:cs="Arial"/>
            <w:i/>
            <w:iCs/>
            <w:color w:val="0000FF"/>
            <w:sz w:val="20"/>
            <w:szCs w:val="20"/>
            <w:lang w:eastAsia="lv-LV"/>
          </w:rPr>
          <w:t>22.08.2017.</w:t>
        </w:r>
      </w:hyperlink>
      <w:r w:rsidRPr="00983D7E">
        <w:rPr>
          <w:rFonts w:ascii="Arial" w:eastAsia="Times New Roman" w:hAnsi="Arial" w:cs="Arial"/>
          <w:i/>
          <w:iCs/>
          <w:color w:val="414142"/>
          <w:sz w:val="20"/>
          <w:szCs w:val="20"/>
          <w:lang w:eastAsia="lv-LV"/>
        </w:rPr>
        <w:t> noteikumiem Nr. 496; MK </w:t>
      </w:r>
      <w:hyperlink r:id="rId13" w:tgtFrame="_blank" w:history="1">
        <w:r w:rsidRPr="00983D7E">
          <w:rPr>
            <w:rFonts w:ascii="Arial" w:eastAsia="Times New Roman" w:hAnsi="Arial" w:cs="Arial"/>
            <w:i/>
            <w:iCs/>
            <w:color w:val="0000FF"/>
            <w:sz w:val="20"/>
            <w:szCs w:val="20"/>
            <w:lang w:eastAsia="lv-LV"/>
          </w:rPr>
          <w:t>16.01.2024.</w:t>
        </w:r>
      </w:hyperlink>
      <w:r w:rsidRPr="00983D7E">
        <w:rPr>
          <w:rFonts w:ascii="Arial" w:eastAsia="Times New Roman" w:hAnsi="Arial" w:cs="Arial"/>
          <w:i/>
          <w:iCs/>
          <w:color w:val="414142"/>
          <w:sz w:val="20"/>
          <w:szCs w:val="20"/>
          <w:lang w:eastAsia="lv-LV"/>
        </w:rPr>
        <w:t> noteikumiem Nr. 56)</w:t>
      </w:r>
    </w:p>
    <w:p w14:paraId="4067A1EF" w14:textId="77777777" w:rsidR="00983D7E" w:rsidRPr="00983D7E" w:rsidRDefault="00983D7E" w:rsidP="00983D7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 w:name="p19"/>
      <w:bookmarkStart w:id="25" w:name="p-552440"/>
      <w:bookmarkEnd w:id="24"/>
      <w:bookmarkEnd w:id="25"/>
      <w:r w:rsidRPr="00983D7E">
        <w:rPr>
          <w:rFonts w:ascii="Arial" w:eastAsia="Times New Roman" w:hAnsi="Arial" w:cs="Arial"/>
          <w:color w:val="414142"/>
          <w:sz w:val="20"/>
          <w:szCs w:val="20"/>
          <w:lang w:eastAsia="lv-LV"/>
        </w:rPr>
        <w:t>19. Ja tuvojas operatīvais transportlīdzeklis ar iedegtu mirgojošu zilu bākuguni vai zilu un sarkanu bākuguni un ieslēgtu speciālu skaņas signālu, gājējiem aizliegts iziet uz brauktuves, bet gājējiem, kuri atrodas uz brauktuves, jādod ceļš minētajam transportlīdzeklim.</w:t>
      </w:r>
    </w:p>
    <w:p w14:paraId="62BC31A1" w14:textId="77777777" w:rsidR="00983D7E" w:rsidRPr="00983D7E" w:rsidRDefault="00983D7E" w:rsidP="00983D7E">
      <w:pPr>
        <w:jc w:val="center"/>
        <w:rPr>
          <w:rFonts w:ascii="Times New Roman" w:hAnsi="Times New Roman" w:cs="Times New Roman"/>
          <w:sz w:val="28"/>
          <w:szCs w:val="28"/>
        </w:rPr>
      </w:pPr>
    </w:p>
    <w:sectPr w:rsidR="00983D7E" w:rsidRPr="00983D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7E"/>
    <w:rsid w:val="001A1E2B"/>
    <w:rsid w:val="004542C7"/>
    <w:rsid w:val="004C58B7"/>
    <w:rsid w:val="00935AC9"/>
    <w:rsid w:val="00983D7E"/>
    <w:rsid w:val="00E96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C62A"/>
  <w15:chartTrackingRefBased/>
  <w15:docId w15:val="{79C68EEA-FC8B-494B-8CB7-B064A15A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1601">
      <w:bodyDiv w:val="1"/>
      <w:marLeft w:val="0"/>
      <w:marRight w:val="0"/>
      <w:marTop w:val="0"/>
      <w:marBottom w:val="0"/>
      <w:divBdr>
        <w:top w:val="none" w:sz="0" w:space="0" w:color="auto"/>
        <w:left w:val="none" w:sz="0" w:space="0" w:color="auto"/>
        <w:bottom w:val="none" w:sz="0" w:space="0" w:color="auto"/>
        <w:right w:val="none" w:sz="0" w:space="0" w:color="auto"/>
      </w:divBdr>
      <w:divsChild>
        <w:div w:id="331639389">
          <w:marLeft w:val="0"/>
          <w:marRight w:val="0"/>
          <w:marTop w:val="0"/>
          <w:marBottom w:val="0"/>
          <w:divBdr>
            <w:top w:val="none" w:sz="0" w:space="0" w:color="auto"/>
            <w:left w:val="none" w:sz="0" w:space="0" w:color="auto"/>
            <w:bottom w:val="none" w:sz="0" w:space="0" w:color="auto"/>
            <w:right w:val="none" w:sz="0" w:space="0" w:color="auto"/>
          </w:divBdr>
        </w:div>
        <w:div w:id="485047050">
          <w:marLeft w:val="0"/>
          <w:marRight w:val="0"/>
          <w:marTop w:val="0"/>
          <w:marBottom w:val="0"/>
          <w:divBdr>
            <w:top w:val="none" w:sz="0" w:space="0" w:color="auto"/>
            <w:left w:val="none" w:sz="0" w:space="0" w:color="auto"/>
            <w:bottom w:val="none" w:sz="0" w:space="0" w:color="auto"/>
            <w:right w:val="none" w:sz="0" w:space="0" w:color="auto"/>
          </w:divBdr>
        </w:div>
        <w:div w:id="305165362">
          <w:marLeft w:val="0"/>
          <w:marRight w:val="0"/>
          <w:marTop w:val="0"/>
          <w:marBottom w:val="0"/>
          <w:divBdr>
            <w:top w:val="none" w:sz="0" w:space="0" w:color="auto"/>
            <w:left w:val="none" w:sz="0" w:space="0" w:color="auto"/>
            <w:bottom w:val="none" w:sz="0" w:space="0" w:color="auto"/>
            <w:right w:val="none" w:sz="0" w:space="0" w:color="auto"/>
          </w:divBdr>
        </w:div>
        <w:div w:id="1049188392">
          <w:marLeft w:val="0"/>
          <w:marRight w:val="0"/>
          <w:marTop w:val="0"/>
          <w:marBottom w:val="0"/>
          <w:divBdr>
            <w:top w:val="none" w:sz="0" w:space="0" w:color="auto"/>
            <w:left w:val="none" w:sz="0" w:space="0" w:color="auto"/>
            <w:bottom w:val="none" w:sz="0" w:space="0" w:color="auto"/>
            <w:right w:val="none" w:sz="0" w:space="0" w:color="auto"/>
          </w:divBdr>
        </w:div>
        <w:div w:id="357464372">
          <w:marLeft w:val="0"/>
          <w:marRight w:val="0"/>
          <w:marTop w:val="0"/>
          <w:marBottom w:val="0"/>
          <w:divBdr>
            <w:top w:val="none" w:sz="0" w:space="0" w:color="auto"/>
            <w:left w:val="none" w:sz="0" w:space="0" w:color="auto"/>
            <w:bottom w:val="none" w:sz="0" w:space="0" w:color="auto"/>
            <w:right w:val="none" w:sz="0" w:space="0" w:color="auto"/>
          </w:divBdr>
        </w:div>
        <w:div w:id="1710838089">
          <w:marLeft w:val="0"/>
          <w:marRight w:val="0"/>
          <w:marTop w:val="0"/>
          <w:marBottom w:val="0"/>
          <w:divBdr>
            <w:top w:val="none" w:sz="0" w:space="0" w:color="auto"/>
            <w:left w:val="none" w:sz="0" w:space="0" w:color="auto"/>
            <w:bottom w:val="none" w:sz="0" w:space="0" w:color="auto"/>
            <w:right w:val="none" w:sz="0" w:space="0" w:color="auto"/>
          </w:divBdr>
        </w:div>
        <w:div w:id="1960069978">
          <w:marLeft w:val="0"/>
          <w:marRight w:val="0"/>
          <w:marTop w:val="0"/>
          <w:marBottom w:val="0"/>
          <w:divBdr>
            <w:top w:val="none" w:sz="0" w:space="0" w:color="auto"/>
            <w:left w:val="none" w:sz="0" w:space="0" w:color="auto"/>
            <w:bottom w:val="none" w:sz="0" w:space="0" w:color="auto"/>
            <w:right w:val="none" w:sz="0" w:space="0" w:color="auto"/>
          </w:divBdr>
        </w:div>
        <w:div w:id="1799034042">
          <w:marLeft w:val="0"/>
          <w:marRight w:val="0"/>
          <w:marTop w:val="0"/>
          <w:marBottom w:val="0"/>
          <w:divBdr>
            <w:top w:val="none" w:sz="0" w:space="0" w:color="auto"/>
            <w:left w:val="none" w:sz="0" w:space="0" w:color="auto"/>
            <w:bottom w:val="none" w:sz="0" w:space="0" w:color="auto"/>
            <w:right w:val="none" w:sz="0" w:space="0" w:color="auto"/>
          </w:divBdr>
        </w:div>
        <w:div w:id="869220801">
          <w:marLeft w:val="0"/>
          <w:marRight w:val="0"/>
          <w:marTop w:val="0"/>
          <w:marBottom w:val="0"/>
          <w:divBdr>
            <w:top w:val="none" w:sz="0" w:space="0" w:color="auto"/>
            <w:left w:val="none" w:sz="0" w:space="0" w:color="auto"/>
            <w:bottom w:val="none" w:sz="0" w:space="0" w:color="auto"/>
            <w:right w:val="none" w:sz="0" w:space="0" w:color="auto"/>
          </w:divBdr>
        </w:div>
        <w:div w:id="590965805">
          <w:marLeft w:val="0"/>
          <w:marRight w:val="0"/>
          <w:marTop w:val="0"/>
          <w:marBottom w:val="0"/>
          <w:divBdr>
            <w:top w:val="none" w:sz="0" w:space="0" w:color="auto"/>
            <w:left w:val="none" w:sz="0" w:space="0" w:color="auto"/>
            <w:bottom w:val="none" w:sz="0" w:space="0" w:color="auto"/>
            <w:right w:val="none" w:sz="0" w:space="0" w:color="auto"/>
          </w:divBdr>
        </w:div>
        <w:div w:id="767038941">
          <w:marLeft w:val="0"/>
          <w:marRight w:val="0"/>
          <w:marTop w:val="0"/>
          <w:marBottom w:val="0"/>
          <w:divBdr>
            <w:top w:val="none" w:sz="0" w:space="0" w:color="auto"/>
            <w:left w:val="none" w:sz="0" w:space="0" w:color="auto"/>
            <w:bottom w:val="none" w:sz="0" w:space="0" w:color="auto"/>
            <w:right w:val="none" w:sz="0" w:space="0" w:color="auto"/>
          </w:divBdr>
        </w:div>
        <w:div w:id="1124882230">
          <w:marLeft w:val="0"/>
          <w:marRight w:val="0"/>
          <w:marTop w:val="0"/>
          <w:marBottom w:val="0"/>
          <w:divBdr>
            <w:top w:val="none" w:sz="0" w:space="0" w:color="auto"/>
            <w:left w:val="none" w:sz="0" w:space="0" w:color="auto"/>
            <w:bottom w:val="none" w:sz="0" w:space="0" w:color="auto"/>
            <w:right w:val="none" w:sz="0" w:space="0" w:color="auto"/>
          </w:divBdr>
        </w:div>
        <w:div w:id="162870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9325-grozijumi-ministru-kabineta-2015-gada-2-junija-noteikumos-nr-279-celu-satiksmes-noteikumi-" TargetMode="External"/><Relationship Id="rId13" Type="http://schemas.openxmlformats.org/officeDocument/2006/relationships/hyperlink" Target="https://likumi.lv/ta/id/349325-grozijumi-ministru-kabineta-2015-gada-2-junija-noteikumos-nr-279-celu-satiksmes-noteikumi-" TargetMode="External"/><Relationship Id="rId3" Type="http://schemas.openxmlformats.org/officeDocument/2006/relationships/webSettings" Target="webSettings.xml"/><Relationship Id="rId7" Type="http://schemas.openxmlformats.org/officeDocument/2006/relationships/hyperlink" Target="https://likumi.lv/ta/id/293172-grozijumi-ministru-kabineta-2015-gada-2-junija-noteikumos-nr-279-celu-satiksmes-noteikumi-" TargetMode="External"/><Relationship Id="rId12" Type="http://schemas.openxmlformats.org/officeDocument/2006/relationships/hyperlink" Target="https://likumi.lv/ta/id/293172-grozijumi-ministru-kabineta-2015-gada-2-junija-noteikumos-nr-279-celu-satiksmes-noteiku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49325-grozijumi-ministru-kabineta-2015-gada-2-junija-noteikumos-nr-279-celu-satiksmes-noteikumi-" TargetMode="External"/><Relationship Id="rId11" Type="http://schemas.openxmlformats.org/officeDocument/2006/relationships/hyperlink" Target="https://likumi.lv/ta/id/349325-grozijumi-ministru-kabineta-2015-gada-2-junija-noteikumos-nr-279-celu-satiksmes-noteikumi-" TargetMode="External"/><Relationship Id="rId5" Type="http://schemas.openxmlformats.org/officeDocument/2006/relationships/hyperlink" Target="https://likumi.lv/ta/id/349325-grozijumi-ministru-kabineta-2015-gada-2-junija-noteikumos-nr-279-celu-satiksmes-noteikumi-" TargetMode="External"/><Relationship Id="rId15" Type="http://schemas.openxmlformats.org/officeDocument/2006/relationships/theme" Target="theme/theme1.xml"/><Relationship Id="rId10" Type="http://schemas.openxmlformats.org/officeDocument/2006/relationships/hyperlink" Target="https://likumi.lv/ta/id/349325-grozijumi-ministru-kabineta-2015-gada-2-junija-noteikumos-nr-279-celu-satiksmes-noteikumi-" TargetMode="External"/><Relationship Id="rId4" Type="http://schemas.openxmlformats.org/officeDocument/2006/relationships/hyperlink" Target="https://likumi.lv/ta/id/349325-grozijumi-ministru-kabineta-2015-gada-2-junija-noteikumos-nr-279-celu-satiksmes-noteikumi-" TargetMode="External"/><Relationship Id="rId9" Type="http://schemas.openxmlformats.org/officeDocument/2006/relationships/hyperlink" Target="https://likumi.lv/ta/id/349325-grozijumi-ministru-kabineta-2015-gada-2-junija-noteikumos-nr-279-celu-satiksmes-noteikumi-"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4215</Words>
  <Characters>2403</Characters>
  <Application>Microsoft Office Word</Application>
  <DocSecurity>0</DocSecurity>
  <Lines>20</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dc:creator>
  <cp:keywords/>
  <dc:description/>
  <cp:lastModifiedBy>Bauskas Novada Pašvaldība</cp:lastModifiedBy>
  <cp:revision>2</cp:revision>
  <dcterms:created xsi:type="dcterms:W3CDTF">2025-01-28T12:40:00Z</dcterms:created>
  <dcterms:modified xsi:type="dcterms:W3CDTF">2025-01-28T12:40:00Z</dcterms:modified>
</cp:coreProperties>
</file>