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FE1DE" w14:textId="77777777" w:rsidR="009C34CD" w:rsidRPr="001656A3" w:rsidRDefault="009C34CD" w:rsidP="009C34CD">
      <w:pPr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656A3">
        <w:rPr>
          <w:rFonts w:ascii="Times New Roman" w:hAnsi="Times New Roman"/>
          <w:b/>
          <w:color w:val="000000" w:themeColor="text1"/>
          <w:sz w:val="24"/>
          <w:szCs w:val="24"/>
        </w:rPr>
        <w:t>2.pielikums</w:t>
      </w:r>
    </w:p>
    <w:p w14:paraId="4A18C755" w14:textId="77777777" w:rsidR="009C34CD" w:rsidRPr="001656A3" w:rsidRDefault="009C34CD" w:rsidP="009C34C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656A3">
        <w:rPr>
          <w:rFonts w:ascii="Times New Roman" w:hAnsi="Times New Roman"/>
          <w:b/>
          <w:color w:val="000000" w:themeColor="text1"/>
          <w:sz w:val="28"/>
          <w:szCs w:val="28"/>
        </w:rPr>
        <w:t>FINANŠU PIEDĀVĀJUMS</w:t>
      </w:r>
    </w:p>
    <w:p w14:paraId="33A3DEDF" w14:textId="77777777" w:rsidR="009C34CD" w:rsidRPr="00635B63" w:rsidRDefault="009C34CD" w:rsidP="009C34C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635B63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>Romiešu žalūziju piegāde un uzstādīšana Kurmenes tautas nama zālē</w:t>
      </w:r>
    </w:p>
    <w:p w14:paraId="30A9E66E" w14:textId="77777777" w:rsidR="009C34CD" w:rsidRPr="00626304" w:rsidRDefault="009C34CD" w:rsidP="009C34CD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6"/>
          <w:szCs w:val="26"/>
        </w:rPr>
      </w:pPr>
      <w:r w:rsidRPr="001656A3">
        <w:rPr>
          <w:rFonts w:ascii="Times New Roman" w:eastAsia="Times New Roman" w:hAnsi="Times New Roman"/>
          <w:b/>
          <w:sz w:val="26"/>
          <w:szCs w:val="26"/>
        </w:rPr>
        <w:t xml:space="preserve">Identifikācijas numurs </w:t>
      </w:r>
      <w:r w:rsidRPr="001656A3">
        <w:rPr>
          <w:rFonts w:ascii="Times New Roman" w:hAnsi="Times New Roman"/>
          <w:b/>
          <w:bCs/>
          <w:sz w:val="26"/>
          <w:szCs w:val="26"/>
        </w:rPr>
        <w:t>VAP/2-1/202</w:t>
      </w:r>
      <w:r>
        <w:rPr>
          <w:rFonts w:ascii="Times New Roman" w:hAnsi="Times New Roman"/>
          <w:b/>
          <w:bCs/>
          <w:sz w:val="26"/>
          <w:szCs w:val="26"/>
        </w:rPr>
        <w:t>5</w:t>
      </w:r>
      <w:r w:rsidRPr="001656A3">
        <w:rPr>
          <w:rFonts w:ascii="Times New Roman" w:hAnsi="Times New Roman"/>
          <w:b/>
          <w:bCs/>
          <w:sz w:val="26"/>
          <w:szCs w:val="26"/>
        </w:rPr>
        <w:t>/</w:t>
      </w:r>
      <w:r>
        <w:rPr>
          <w:rFonts w:ascii="Times New Roman" w:hAnsi="Times New Roman"/>
          <w:b/>
          <w:bCs/>
          <w:sz w:val="26"/>
          <w:szCs w:val="26"/>
        </w:rPr>
        <w:t>5</w:t>
      </w:r>
    </w:p>
    <w:tbl>
      <w:tblPr>
        <w:tblW w:w="9351" w:type="dxa"/>
        <w:tblInd w:w="-147" w:type="dxa"/>
        <w:tblLook w:val="0000" w:firstRow="0" w:lastRow="0" w:firstColumn="0" w:lastColumn="0" w:noHBand="0" w:noVBand="0"/>
      </w:tblPr>
      <w:tblGrid>
        <w:gridCol w:w="2189"/>
        <w:gridCol w:w="1225"/>
        <w:gridCol w:w="5937"/>
      </w:tblGrid>
      <w:tr w:rsidR="009C34CD" w14:paraId="0E0C7C7E" w14:textId="77777777" w:rsidTr="00A72BBA">
        <w:trPr>
          <w:cantSplit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0F9E680" w14:textId="77777777" w:rsidR="009C34CD" w:rsidRPr="001656A3" w:rsidRDefault="009C34CD" w:rsidP="00A72BBA">
            <w:pPr>
              <w:outlineLvl w:val="6"/>
              <w:rPr>
                <w:rFonts w:ascii="Times New Roman" w:hAnsi="Times New Roman"/>
                <w:b/>
                <w:sz w:val="24"/>
              </w:rPr>
            </w:pPr>
            <w:r w:rsidRPr="001656A3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9C34CD" w14:paraId="7F76497D" w14:textId="77777777" w:rsidTr="00A72BBA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1010A5E6" w14:textId="77777777" w:rsidR="009C34CD" w:rsidRPr="001656A3" w:rsidRDefault="009C34CD" w:rsidP="00A72BBA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6A3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69B92967" w14:textId="77777777" w:rsidR="009C34CD" w:rsidRPr="001656A3" w:rsidRDefault="009C34CD" w:rsidP="00A72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4CD" w14:paraId="0604C99E" w14:textId="77777777" w:rsidTr="00A72BBA">
        <w:trPr>
          <w:cantSplit/>
        </w:trPr>
        <w:tc>
          <w:tcPr>
            <w:tcW w:w="3414" w:type="dxa"/>
            <w:gridSpan w:val="2"/>
          </w:tcPr>
          <w:p w14:paraId="77EE4CAC" w14:textId="77777777" w:rsidR="009C34CD" w:rsidRPr="001656A3" w:rsidRDefault="009C34CD" w:rsidP="00A72BBA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6A3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0C0063E4" w14:textId="77777777" w:rsidR="009C34CD" w:rsidRPr="001656A3" w:rsidRDefault="009C34CD" w:rsidP="00A72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4CD" w14:paraId="2FB3767F" w14:textId="77777777" w:rsidTr="00A72BBA">
        <w:trPr>
          <w:cantSplit/>
        </w:trPr>
        <w:tc>
          <w:tcPr>
            <w:tcW w:w="3414" w:type="dxa"/>
            <w:gridSpan w:val="2"/>
          </w:tcPr>
          <w:p w14:paraId="00B77730" w14:textId="77777777" w:rsidR="009C34CD" w:rsidRPr="001656A3" w:rsidRDefault="009C34CD" w:rsidP="00A72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1964162D" w14:textId="77777777" w:rsidR="009C34CD" w:rsidRPr="001656A3" w:rsidRDefault="009C34CD" w:rsidP="00A72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4CD" w14:paraId="47B4A2FC" w14:textId="77777777" w:rsidTr="00A72BBA">
        <w:trPr>
          <w:cantSplit/>
        </w:trPr>
        <w:tc>
          <w:tcPr>
            <w:tcW w:w="3414" w:type="dxa"/>
            <w:gridSpan w:val="2"/>
          </w:tcPr>
          <w:p w14:paraId="12D5A352" w14:textId="77777777" w:rsidR="009C34CD" w:rsidRPr="001656A3" w:rsidRDefault="009C34CD" w:rsidP="00A72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28E72CF6" w14:textId="77777777" w:rsidR="009C34CD" w:rsidRPr="001656A3" w:rsidRDefault="009C34CD" w:rsidP="00A72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4CD" w14:paraId="0F59DFCE" w14:textId="77777777" w:rsidTr="00A72BBA">
        <w:trPr>
          <w:cantSplit/>
        </w:trPr>
        <w:tc>
          <w:tcPr>
            <w:tcW w:w="3414" w:type="dxa"/>
            <w:gridSpan w:val="2"/>
          </w:tcPr>
          <w:p w14:paraId="77DD75EC" w14:textId="77777777" w:rsidR="009C34CD" w:rsidRPr="001656A3" w:rsidRDefault="009C34CD" w:rsidP="00A72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0601D520" w14:textId="77777777" w:rsidR="009C34CD" w:rsidRPr="001656A3" w:rsidRDefault="009C34CD" w:rsidP="00A72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4CD" w14:paraId="3A3FAB4C" w14:textId="77777777" w:rsidTr="00A72BBA">
        <w:trPr>
          <w:cantSplit/>
        </w:trPr>
        <w:tc>
          <w:tcPr>
            <w:tcW w:w="3414" w:type="dxa"/>
            <w:gridSpan w:val="2"/>
          </w:tcPr>
          <w:p w14:paraId="05EB97A3" w14:textId="77777777" w:rsidR="009C34CD" w:rsidRPr="001656A3" w:rsidRDefault="009C34CD" w:rsidP="00A72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3A250BBA" w14:textId="77777777" w:rsidR="009C34CD" w:rsidRPr="001656A3" w:rsidRDefault="009C34CD" w:rsidP="00A72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4CD" w14:paraId="6338E1D8" w14:textId="77777777" w:rsidTr="00A72BBA">
        <w:trPr>
          <w:cantSplit/>
        </w:trPr>
        <w:tc>
          <w:tcPr>
            <w:tcW w:w="3414" w:type="dxa"/>
            <w:gridSpan w:val="2"/>
          </w:tcPr>
          <w:p w14:paraId="379B5C73" w14:textId="77777777" w:rsidR="009C34CD" w:rsidRPr="001656A3" w:rsidRDefault="009C34CD" w:rsidP="00A72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5E367973" w14:textId="77777777" w:rsidR="009C34CD" w:rsidRDefault="009C34CD" w:rsidP="00A72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DE0A2A" w14:textId="77777777" w:rsidR="009C34CD" w:rsidRPr="001656A3" w:rsidRDefault="009C34CD" w:rsidP="00A72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4CD" w14:paraId="793EFF77" w14:textId="77777777" w:rsidTr="00A72BBA">
        <w:trPr>
          <w:cantSplit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83D0D96" w14:textId="77777777" w:rsidR="009C34CD" w:rsidRPr="001656A3" w:rsidRDefault="009C34CD" w:rsidP="00A72BBA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>
              <w:rPr>
                <w:rFonts w:ascii="Times New Roman" w:eastAsia="Times New Roman" w:hAnsi="Times New Roman"/>
                <w:b/>
                <w:sz w:val="24"/>
              </w:rPr>
              <w:t>/līguma izpildes atbildīgo personu</w:t>
            </w:r>
          </w:p>
        </w:tc>
      </w:tr>
      <w:tr w:rsidR="009C34CD" w14:paraId="0DBED0A0" w14:textId="77777777" w:rsidTr="00A72BBA">
        <w:trPr>
          <w:cantSplit/>
        </w:trPr>
        <w:tc>
          <w:tcPr>
            <w:tcW w:w="2189" w:type="dxa"/>
          </w:tcPr>
          <w:p w14:paraId="00DB7F7B" w14:textId="77777777" w:rsidR="009C34CD" w:rsidRPr="001656A3" w:rsidRDefault="009C34CD" w:rsidP="00A72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7162" w:type="dxa"/>
            <w:gridSpan w:val="2"/>
            <w:tcBorders>
              <w:bottom w:val="single" w:sz="4" w:space="0" w:color="auto"/>
            </w:tcBorders>
          </w:tcPr>
          <w:p w14:paraId="7FB63FE9" w14:textId="77777777" w:rsidR="009C34CD" w:rsidRPr="001656A3" w:rsidRDefault="009C34CD" w:rsidP="00A72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4CD" w14:paraId="51F71381" w14:textId="77777777" w:rsidTr="00A72BBA">
        <w:trPr>
          <w:cantSplit/>
        </w:trPr>
        <w:tc>
          <w:tcPr>
            <w:tcW w:w="2189" w:type="dxa"/>
          </w:tcPr>
          <w:p w14:paraId="6C563641" w14:textId="77777777" w:rsidR="009C34CD" w:rsidRPr="001656A3" w:rsidRDefault="009C34CD" w:rsidP="00A72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6C5B4B" w14:textId="77777777" w:rsidR="009C34CD" w:rsidRPr="001656A3" w:rsidRDefault="009C34CD" w:rsidP="00A72BB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34CD" w14:paraId="3FF677BE" w14:textId="77777777" w:rsidTr="00A72BBA">
        <w:trPr>
          <w:cantSplit/>
        </w:trPr>
        <w:tc>
          <w:tcPr>
            <w:tcW w:w="2189" w:type="dxa"/>
          </w:tcPr>
          <w:p w14:paraId="0EB40BBD" w14:textId="77777777" w:rsidR="009C34CD" w:rsidRPr="001656A3" w:rsidRDefault="009C34CD" w:rsidP="00A72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331D44" w14:textId="77777777" w:rsidR="009C34CD" w:rsidRPr="001656A3" w:rsidRDefault="009C34CD" w:rsidP="00A72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4CD" w14:paraId="113B7A3E" w14:textId="77777777" w:rsidTr="00A72BBA">
        <w:trPr>
          <w:cantSplit/>
        </w:trPr>
        <w:tc>
          <w:tcPr>
            <w:tcW w:w="2189" w:type="dxa"/>
          </w:tcPr>
          <w:p w14:paraId="6D5C9D25" w14:textId="77777777" w:rsidR="009C34CD" w:rsidRPr="001656A3" w:rsidRDefault="009C34CD" w:rsidP="00A72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7162" w:type="dxa"/>
            <w:gridSpan w:val="2"/>
            <w:tcBorders>
              <w:bottom w:val="single" w:sz="4" w:space="0" w:color="auto"/>
            </w:tcBorders>
          </w:tcPr>
          <w:p w14:paraId="15058E94" w14:textId="77777777" w:rsidR="009C34CD" w:rsidRPr="001656A3" w:rsidRDefault="009C34CD" w:rsidP="00A72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CD5206" w14:textId="77777777" w:rsidR="009C34CD" w:rsidRDefault="009C34CD" w:rsidP="009C34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D4EE2">
        <w:rPr>
          <w:rFonts w:ascii="Times New Roman" w:eastAsia="Times New Roman" w:hAnsi="Times New Roman"/>
          <w:sz w:val="24"/>
          <w:szCs w:val="24"/>
        </w:rPr>
        <w:t xml:space="preserve">Iepazinies ar </w:t>
      </w:r>
      <w:r>
        <w:rPr>
          <w:rFonts w:ascii="Times New Roman" w:eastAsia="Times New Roman" w:hAnsi="Times New Roman"/>
          <w:sz w:val="24"/>
          <w:szCs w:val="24"/>
        </w:rPr>
        <w:t>cenu aptaujas</w:t>
      </w:r>
      <w:r w:rsidRPr="00ED4EE2">
        <w:rPr>
          <w:rFonts w:ascii="Times New Roman" w:eastAsia="Times New Roman" w:hAnsi="Times New Roman"/>
          <w:sz w:val="24"/>
          <w:szCs w:val="24"/>
        </w:rPr>
        <w:t xml:space="preserve"> </w:t>
      </w:r>
      <w:r w:rsidRPr="00ED4EE2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>Romiešu žalūziju piegāde un uzstādīšana Kurmenes tautas nama zālē</w:t>
      </w:r>
      <w:r w:rsidRPr="00ED4EE2">
        <w:rPr>
          <w:rFonts w:ascii="Times New Roman" w:eastAsia="Times New Roman" w:hAnsi="Times New Roman"/>
          <w:b/>
          <w:sz w:val="24"/>
          <w:szCs w:val="24"/>
        </w:rPr>
        <w:t xml:space="preserve">”, identifikācijas numurs </w:t>
      </w:r>
      <w:r w:rsidRPr="00ED4EE2">
        <w:rPr>
          <w:rFonts w:ascii="Times New Roman" w:hAnsi="Times New Roman"/>
          <w:b/>
          <w:bCs/>
          <w:sz w:val="24"/>
          <w:szCs w:val="24"/>
        </w:rPr>
        <w:t>VAP/2-1/202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ED4EE2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ED4EE2">
        <w:rPr>
          <w:rFonts w:ascii="Times New Roman" w:eastAsia="Times New Roman" w:hAnsi="Times New Roman"/>
          <w:b/>
          <w:sz w:val="24"/>
          <w:szCs w:val="24"/>
        </w:rPr>
        <w:t>,</w:t>
      </w:r>
      <w:r w:rsidRPr="00ED4EE2">
        <w:rPr>
          <w:rFonts w:ascii="Times New Roman" w:hAnsi="Times New Roman"/>
          <w:sz w:val="24"/>
          <w:szCs w:val="24"/>
        </w:rPr>
        <w:t xml:space="preserve"> </w:t>
      </w:r>
      <w:r w:rsidRPr="00ED4EE2">
        <w:rPr>
          <w:rFonts w:ascii="Times New Roman" w:eastAsia="Times New Roman" w:hAnsi="Times New Roman"/>
          <w:sz w:val="24"/>
          <w:szCs w:val="24"/>
        </w:rPr>
        <w:t>noteikumiem un Tehnisko specifikāciju, piedāvāju veikt minēto pakalpojumu par šādu līgumcenu:</w:t>
      </w:r>
    </w:p>
    <w:p w14:paraId="2CD07E2E" w14:textId="77777777" w:rsidR="009C34CD" w:rsidRPr="00ED4EE2" w:rsidRDefault="009C34CD" w:rsidP="009C34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2372"/>
        <w:gridCol w:w="2155"/>
        <w:gridCol w:w="1677"/>
        <w:gridCol w:w="3010"/>
      </w:tblGrid>
      <w:tr w:rsidR="009C34CD" w14:paraId="6515DC28" w14:textId="77777777" w:rsidTr="00A72BBA">
        <w:tc>
          <w:tcPr>
            <w:tcW w:w="2372" w:type="dxa"/>
          </w:tcPr>
          <w:p w14:paraId="558587EC" w14:textId="77777777" w:rsidR="009C34CD" w:rsidRPr="00B26902" w:rsidRDefault="009C34CD" w:rsidP="009C34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6902">
              <w:rPr>
                <w:rFonts w:ascii="Times New Roman" w:hAnsi="Times New Roman"/>
                <w:b/>
              </w:rPr>
              <w:t>Iepirkuma priekšmets</w:t>
            </w:r>
          </w:p>
        </w:tc>
        <w:tc>
          <w:tcPr>
            <w:tcW w:w="2155" w:type="dxa"/>
          </w:tcPr>
          <w:p w14:paraId="7EBC4112" w14:textId="77777777" w:rsidR="009C34CD" w:rsidRPr="00B26902" w:rsidRDefault="009C34CD" w:rsidP="009C34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6902">
              <w:rPr>
                <w:rFonts w:ascii="Times New Roman" w:hAnsi="Times New Roman"/>
                <w:b/>
              </w:rPr>
              <w:t>Piedāvājuma cena par 1 (vienu) vienību,</w:t>
            </w:r>
            <w:r w:rsidRPr="00B26902">
              <w:rPr>
                <w:rFonts w:ascii="Times New Roman" w:hAnsi="Times New Roman"/>
                <w:b/>
                <w:vertAlign w:val="superscript"/>
              </w:rPr>
              <w:t xml:space="preserve"> </w:t>
            </w:r>
            <w:r w:rsidRPr="00B26902">
              <w:rPr>
                <w:rFonts w:ascii="Times New Roman" w:hAnsi="Times New Roman"/>
                <w:b/>
              </w:rPr>
              <w:t xml:space="preserve"> EUR </w:t>
            </w:r>
            <w:r w:rsidRPr="00B26902">
              <w:rPr>
                <w:rFonts w:ascii="Times New Roman" w:hAnsi="Times New Roman"/>
                <w:b/>
                <w:u w:val="single"/>
              </w:rPr>
              <w:t>bez PVN</w:t>
            </w:r>
          </w:p>
        </w:tc>
        <w:tc>
          <w:tcPr>
            <w:tcW w:w="1677" w:type="dxa"/>
          </w:tcPr>
          <w:p w14:paraId="171955AA" w14:textId="77777777" w:rsidR="009C34CD" w:rsidRPr="00B26902" w:rsidRDefault="009C34CD" w:rsidP="009C34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Daudzums/gab.</w:t>
            </w:r>
          </w:p>
        </w:tc>
        <w:tc>
          <w:tcPr>
            <w:tcW w:w="3010" w:type="dxa"/>
          </w:tcPr>
          <w:p w14:paraId="41F813A1" w14:textId="77777777" w:rsidR="009C34CD" w:rsidRPr="00B26902" w:rsidRDefault="009C34CD" w:rsidP="009C34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6902">
              <w:rPr>
                <w:rFonts w:ascii="Times New Roman" w:hAnsi="Times New Roman"/>
                <w:b/>
              </w:rPr>
              <w:t xml:space="preserve">Piedāvājuma cena par </w:t>
            </w:r>
            <w:r>
              <w:rPr>
                <w:rFonts w:ascii="Times New Roman" w:hAnsi="Times New Roman"/>
                <w:b/>
              </w:rPr>
              <w:t>visu apjomu</w:t>
            </w:r>
            <w:r w:rsidRPr="00B26902">
              <w:rPr>
                <w:rFonts w:ascii="Times New Roman" w:hAnsi="Times New Roman"/>
                <w:b/>
              </w:rPr>
              <w:t>,</w:t>
            </w:r>
            <w:r w:rsidRPr="00B26902">
              <w:rPr>
                <w:rFonts w:ascii="Times New Roman" w:hAnsi="Times New Roman"/>
                <w:b/>
                <w:vertAlign w:val="superscript"/>
              </w:rPr>
              <w:t xml:space="preserve"> </w:t>
            </w:r>
            <w:r w:rsidRPr="00B26902">
              <w:rPr>
                <w:rFonts w:ascii="Times New Roman" w:hAnsi="Times New Roman"/>
                <w:b/>
              </w:rPr>
              <w:t xml:space="preserve"> EUR </w:t>
            </w:r>
            <w:r w:rsidRPr="00B26902">
              <w:rPr>
                <w:rFonts w:ascii="Times New Roman" w:hAnsi="Times New Roman"/>
                <w:b/>
                <w:u w:val="single"/>
              </w:rPr>
              <w:t>bez PVN</w:t>
            </w:r>
          </w:p>
        </w:tc>
      </w:tr>
      <w:tr w:rsidR="009C34CD" w14:paraId="7B9F3739" w14:textId="77777777" w:rsidTr="00A72BBA">
        <w:tc>
          <w:tcPr>
            <w:tcW w:w="2372" w:type="dxa"/>
          </w:tcPr>
          <w:p w14:paraId="12ABCE1D" w14:textId="77777777" w:rsidR="009C34CD" w:rsidRPr="00E03881" w:rsidRDefault="009C34CD" w:rsidP="009C34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Romiešu žalūzijas </w:t>
            </w:r>
          </w:p>
        </w:tc>
        <w:tc>
          <w:tcPr>
            <w:tcW w:w="2155" w:type="dxa"/>
          </w:tcPr>
          <w:p w14:paraId="640EF15F" w14:textId="77777777" w:rsidR="009C34CD" w:rsidRPr="00E03881" w:rsidRDefault="009C34CD" w:rsidP="009C3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14:paraId="2C4EA440" w14:textId="77777777" w:rsidR="009C34CD" w:rsidRPr="00E03881" w:rsidRDefault="009C34CD" w:rsidP="009C3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010" w:type="dxa"/>
          </w:tcPr>
          <w:p w14:paraId="600003D0" w14:textId="77777777" w:rsidR="009C34CD" w:rsidRPr="00E03881" w:rsidRDefault="009C34CD" w:rsidP="009C3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34CD" w14:paraId="5C8874DD" w14:textId="77777777" w:rsidTr="00A72BBA">
        <w:tc>
          <w:tcPr>
            <w:tcW w:w="2372" w:type="dxa"/>
          </w:tcPr>
          <w:p w14:paraId="26167ECB" w14:textId="77777777" w:rsidR="009C34CD" w:rsidRDefault="009C34CD" w:rsidP="009C34C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PVN 21%, EUR</w:t>
            </w:r>
          </w:p>
        </w:tc>
        <w:tc>
          <w:tcPr>
            <w:tcW w:w="2155" w:type="dxa"/>
          </w:tcPr>
          <w:p w14:paraId="480AF99A" w14:textId="77777777" w:rsidR="009C34CD" w:rsidRPr="00E03881" w:rsidRDefault="009C34CD" w:rsidP="009C3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14:paraId="68166A33" w14:textId="77777777" w:rsidR="009C34CD" w:rsidRPr="00E03881" w:rsidRDefault="009C34CD" w:rsidP="009C3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14:paraId="3EF51DE3" w14:textId="77777777" w:rsidR="009C34CD" w:rsidRPr="00E03881" w:rsidRDefault="009C34CD" w:rsidP="009C3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34CD" w14:paraId="455F0210" w14:textId="77777777" w:rsidTr="00A72BBA">
        <w:tc>
          <w:tcPr>
            <w:tcW w:w="2372" w:type="dxa"/>
          </w:tcPr>
          <w:p w14:paraId="79F83599" w14:textId="77777777" w:rsidR="009C34CD" w:rsidRDefault="009C34CD" w:rsidP="009C34C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Kopā ar PVN, EUR</w:t>
            </w:r>
          </w:p>
        </w:tc>
        <w:tc>
          <w:tcPr>
            <w:tcW w:w="2155" w:type="dxa"/>
          </w:tcPr>
          <w:p w14:paraId="422D1D54" w14:textId="77777777" w:rsidR="009C34CD" w:rsidRPr="00E03881" w:rsidRDefault="009C34CD" w:rsidP="009C3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14:paraId="57CAE4F9" w14:textId="77777777" w:rsidR="009C34CD" w:rsidRPr="00E03881" w:rsidRDefault="009C34CD" w:rsidP="009C3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14:paraId="1DBF0CE9" w14:textId="77777777" w:rsidR="009C34CD" w:rsidRPr="00E03881" w:rsidRDefault="009C34CD" w:rsidP="009C3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8DEFB39" w14:textId="77777777" w:rsidR="009C34CD" w:rsidRPr="0055737A" w:rsidRDefault="009C34CD" w:rsidP="009C34CD">
      <w:pPr>
        <w:pStyle w:val="Pamattekstaatkpe2"/>
        <w:spacing w:after="0" w:line="240" w:lineRule="auto"/>
        <w:ind w:left="0" w:firstLine="426"/>
        <w:jc w:val="both"/>
        <w:rPr>
          <w:lang w:val="lv-LV"/>
        </w:rPr>
      </w:pPr>
      <w:r w:rsidRPr="003708B6">
        <w:rPr>
          <w:iCs/>
        </w:rPr>
        <w:t>Piedāvājuma</w:t>
      </w:r>
      <w:r w:rsidRPr="00BD2F20">
        <w:rPr>
          <w:iCs/>
          <w:color w:val="FF0000"/>
        </w:rPr>
        <w:t xml:space="preserve"> </w:t>
      </w:r>
      <w:r w:rsidRPr="00BD2F20">
        <w:rPr>
          <w:iCs/>
        </w:rPr>
        <w:t xml:space="preserve">cenā ir iekļautas visas iespējamās izmaksas, kas saistītas ar </w:t>
      </w:r>
      <w:r>
        <w:rPr>
          <w:iCs/>
        </w:rPr>
        <w:t>darbu</w:t>
      </w:r>
      <w:r w:rsidRPr="00BD2F20">
        <w:rPr>
          <w:iCs/>
        </w:rPr>
        <w:t xml:space="preserve"> </w:t>
      </w:r>
      <w:r>
        <w:rPr>
          <w:iCs/>
        </w:rPr>
        <w:t>izpildi</w:t>
      </w:r>
      <w:r w:rsidRPr="00BD2F20">
        <w:rPr>
          <w:iCs/>
        </w:rPr>
        <w:t>, tai skaitā</w:t>
      </w:r>
      <w:r>
        <w:rPr>
          <w:iCs/>
        </w:rPr>
        <w:t xml:space="preserve"> materiālu, darba spēka, administrācijas un transporta izmaksas, kā arī</w:t>
      </w:r>
      <w:r w:rsidRPr="00BD2F20">
        <w:rPr>
          <w:iCs/>
        </w:rPr>
        <w:t xml:space="preserve"> iespējamie sadārdzinājumi un visi riski</w:t>
      </w:r>
      <w:r>
        <w:t xml:space="preserve"> un</w:t>
      </w:r>
      <w:r w:rsidRPr="00C147F4">
        <w:t xml:space="preserve"> visi Latvijas Republikas normatīvajos aktos noteiktie nodokļi (izņemot PVN) un tiem pielīdzināmie maksājumi</w:t>
      </w:r>
      <w:r w:rsidRPr="0055737A">
        <w:rPr>
          <w:lang w:val="lv-LV"/>
        </w:rPr>
        <w:t xml:space="preserve">, </w:t>
      </w:r>
    </w:p>
    <w:p w14:paraId="4D58AAA0" w14:textId="77777777" w:rsidR="009C34CD" w:rsidRDefault="009C34CD" w:rsidP="009C34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772B">
        <w:rPr>
          <w:rFonts w:ascii="Times New Roman" w:hAnsi="Times New Roman"/>
          <w:sz w:val="24"/>
          <w:szCs w:val="24"/>
        </w:rPr>
        <w:t xml:space="preserve">Piedāvājumā norādītā </w:t>
      </w:r>
      <w:r>
        <w:rPr>
          <w:rFonts w:ascii="Times New Roman" w:hAnsi="Times New Roman"/>
          <w:sz w:val="24"/>
          <w:szCs w:val="24"/>
        </w:rPr>
        <w:t>vienības cena</w:t>
      </w:r>
      <w:r w:rsidRPr="0081772B">
        <w:rPr>
          <w:rFonts w:ascii="Times New Roman" w:hAnsi="Times New Roman"/>
          <w:sz w:val="24"/>
          <w:szCs w:val="24"/>
        </w:rPr>
        <w:t xml:space="preserve"> paliek nemainīga visā līguma izpildes laikā.</w:t>
      </w:r>
    </w:p>
    <w:p w14:paraId="5D968BB3" w14:textId="77777777" w:rsidR="009C34CD" w:rsidRPr="00060FED" w:rsidRDefault="009C34CD" w:rsidP="009C34CD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eastAsia="zh-CN"/>
        </w:rPr>
      </w:pP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>Finanšu piedāvājumā cen</w:t>
      </w:r>
      <w:r>
        <w:rPr>
          <w:rFonts w:ascii="Times New Roman" w:eastAsia="TimesNewRoman" w:hAnsi="Times New Roman"/>
          <w:sz w:val="24"/>
          <w:szCs w:val="24"/>
          <w:lang w:eastAsia="zh-CN"/>
        </w:rPr>
        <w:t>ai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ir jābūt norādīt</w:t>
      </w:r>
      <w:r>
        <w:rPr>
          <w:rFonts w:ascii="Times New Roman" w:eastAsia="TimesNewRoman" w:hAnsi="Times New Roman"/>
          <w:sz w:val="24"/>
          <w:szCs w:val="24"/>
          <w:lang w:eastAsia="zh-CN"/>
        </w:rPr>
        <w:t>ai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</w:t>
      </w:r>
      <w:proofErr w:type="spellStart"/>
      <w:r w:rsidRPr="00060FED">
        <w:rPr>
          <w:rFonts w:ascii="Times New Roman" w:eastAsia="TimesNewRoman" w:hAnsi="Times New Roman"/>
          <w:i/>
          <w:sz w:val="24"/>
          <w:szCs w:val="24"/>
          <w:lang w:eastAsia="zh-CN"/>
        </w:rPr>
        <w:t>euro</w:t>
      </w:r>
      <w:proofErr w:type="spellEnd"/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(EUR), norādot un aprēķinot piedāvāt</w:t>
      </w:r>
      <w:r>
        <w:rPr>
          <w:rFonts w:ascii="Times New Roman" w:eastAsia="TimesNewRoman" w:hAnsi="Times New Roman"/>
          <w:sz w:val="24"/>
          <w:szCs w:val="24"/>
          <w:lang w:eastAsia="zh-CN"/>
        </w:rPr>
        <w:t>o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cen</w:t>
      </w:r>
      <w:r>
        <w:rPr>
          <w:rFonts w:ascii="Times New Roman" w:eastAsia="TimesNewRoman" w:hAnsi="Times New Roman"/>
          <w:sz w:val="24"/>
          <w:szCs w:val="24"/>
          <w:lang w:eastAsia="zh-CN"/>
        </w:rPr>
        <w:t>u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ar precizitāti divas zīmes aiz komata.</w:t>
      </w:r>
    </w:p>
    <w:p w14:paraId="737A281E" w14:textId="77777777" w:rsidR="009C34CD" w:rsidRDefault="009C34CD" w:rsidP="009C34CD">
      <w:pPr>
        <w:pStyle w:val="Sarakstarindkopa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3A76">
        <w:rPr>
          <w:rFonts w:ascii="Times New Roman" w:hAnsi="Times New Roman"/>
          <w:sz w:val="24"/>
          <w:szCs w:val="24"/>
        </w:rPr>
        <w:t>Mūsu rīcībā ir visi tehniskie un personāla resursi tehniskajā specifikācijā minēto darbu izpildei, lai kvalitatīvi un savlaicīgi nodrošinātu pasūtītājam nepieciešamo darbu izpildi.</w:t>
      </w:r>
    </w:p>
    <w:p w14:paraId="3061FBCA" w14:textId="77777777" w:rsidR="009C34CD" w:rsidRPr="001656A3" w:rsidRDefault="009C34CD" w:rsidP="009C34C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56A3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>
        <w:rPr>
          <w:rFonts w:ascii="Times New Roman" w:eastAsia="Times New Roman" w:hAnsi="Times New Roman"/>
          <w:sz w:val="24"/>
          <w:szCs w:val="24"/>
        </w:rPr>
        <w:t>cenu aptaujā</w:t>
      </w:r>
      <w:r w:rsidRPr="001656A3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3A0535A5" w14:textId="77777777" w:rsidR="009C34CD" w:rsidRPr="001656A3" w:rsidRDefault="009C34CD" w:rsidP="009C34C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656A3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5848"/>
      </w:tblGrid>
      <w:tr w:rsidR="009C34CD" w14:paraId="08988849" w14:textId="77777777" w:rsidTr="00A72BBA">
        <w:trPr>
          <w:trHeight w:val="24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74E7DCCB" w14:textId="77777777" w:rsidR="009C34CD" w:rsidRPr="001656A3" w:rsidRDefault="009C34CD" w:rsidP="00A72BB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5848" w:type="dxa"/>
            <w:vAlign w:val="center"/>
          </w:tcPr>
          <w:p w14:paraId="7E0E607D" w14:textId="77777777" w:rsidR="009C34CD" w:rsidRPr="001656A3" w:rsidRDefault="009C34CD" w:rsidP="00A72B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CD" w14:paraId="747F833E" w14:textId="77777777" w:rsidTr="00A72BBA">
        <w:trPr>
          <w:trHeight w:val="249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5EB10925" w14:textId="77777777" w:rsidR="009C34CD" w:rsidRPr="001656A3" w:rsidRDefault="009C34CD" w:rsidP="00A72BB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5848" w:type="dxa"/>
            <w:vAlign w:val="center"/>
          </w:tcPr>
          <w:p w14:paraId="48B8CC39" w14:textId="77777777" w:rsidR="009C34CD" w:rsidRPr="001656A3" w:rsidRDefault="009C34CD" w:rsidP="00A72B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CD" w14:paraId="333D2560" w14:textId="77777777" w:rsidTr="00A72BBA">
        <w:trPr>
          <w:trHeight w:val="239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5ADAC7E0" w14:textId="77777777" w:rsidR="009C34CD" w:rsidRPr="001656A3" w:rsidRDefault="009C34CD" w:rsidP="00A72BB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1632BB03" w14:textId="77777777" w:rsidR="009C34CD" w:rsidRPr="001656A3" w:rsidRDefault="009C34CD" w:rsidP="00A72B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CD" w14:paraId="59A10A37" w14:textId="77777777" w:rsidTr="00A72BBA">
        <w:trPr>
          <w:trHeight w:val="243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4BCFB20F" w14:textId="77777777" w:rsidR="009C34CD" w:rsidRPr="001656A3" w:rsidRDefault="009C34CD" w:rsidP="00A72BB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5848" w:type="dxa"/>
            <w:vAlign w:val="center"/>
          </w:tcPr>
          <w:p w14:paraId="79EECFA6" w14:textId="77777777" w:rsidR="009C34CD" w:rsidRPr="001656A3" w:rsidRDefault="009C34CD" w:rsidP="00A72B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6F9C9A8" w14:textId="10D336C7" w:rsidR="000406B9" w:rsidRDefault="009C34CD" w:rsidP="009C34CD">
      <w:pPr>
        <w:jc w:val="center"/>
      </w:pPr>
      <w:r w:rsidRPr="001656A3">
        <w:rPr>
          <w:rFonts w:ascii="Times New Roman" w:hAnsi="Times New Roman"/>
        </w:rPr>
        <w:t xml:space="preserve">Piedāvājumu paraksta pretendenta </w:t>
      </w:r>
      <w:proofErr w:type="spellStart"/>
      <w:r w:rsidRPr="001656A3">
        <w:rPr>
          <w:rFonts w:ascii="Times New Roman" w:hAnsi="Times New Roman"/>
        </w:rPr>
        <w:t>paraksttiesīgā</w:t>
      </w:r>
      <w:proofErr w:type="spellEnd"/>
      <w:r w:rsidRPr="001656A3">
        <w:rPr>
          <w:rFonts w:ascii="Times New Roman" w:hAnsi="Times New Roman"/>
        </w:rPr>
        <w:t xml:space="preserve"> persona</w:t>
      </w:r>
    </w:p>
    <w:sectPr w:rsidR="000406B9" w:rsidSect="009C34CD">
      <w:footerReference w:type="first" r:id="rId6"/>
      <w:pgSz w:w="11906" w:h="16838"/>
      <w:pgMar w:top="426" w:right="991" w:bottom="851" w:left="1418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9993" w14:textId="77777777" w:rsidR="00BE0A8D" w:rsidRDefault="00BE0A8D" w:rsidP="009C34CD">
      <w:pPr>
        <w:spacing w:after="0" w:line="240" w:lineRule="auto"/>
      </w:pPr>
      <w:r>
        <w:separator/>
      </w:r>
    </w:p>
  </w:endnote>
  <w:endnote w:type="continuationSeparator" w:id="0">
    <w:p w14:paraId="58C0A962" w14:textId="77777777" w:rsidR="00BE0A8D" w:rsidRDefault="00BE0A8D" w:rsidP="009C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BDE2" w14:textId="77777777" w:rsidR="00000000" w:rsidRDefault="00000000">
    <w:r>
      <w:t xml:space="preserve">          Šis dokuments ir parakstīts ar drošu elektronisko parakstu un satur laika zīmogu</w:t>
    </w:r>
  </w:p>
  <w:p w14:paraId="4A528847" w14:textId="77777777" w:rsidR="00000000" w:rsidRDefault="00000000">
    <w:r>
      <w:t xml:space="preserve">          Šis dokuments ir parakstīts ar drošu elektronisko parakstu un satur laika zīmogu</w:t>
    </w:r>
  </w:p>
  <w:p w14:paraId="5B42EB53" w14:textId="77777777" w:rsidR="00000000" w:rsidRDefault="00000000">
    <w:r>
      <w:t xml:space="preserve">          Šis dokuments ir parakstīts ar drošu elektronisko parakstu un satur laika zīmogu</w:t>
    </w:r>
  </w:p>
  <w:p w14:paraId="314ABFB2" w14:textId="77777777" w:rsidR="00000000" w:rsidRDefault="00000000">
    <w:r>
      <w:t xml:space="preserve">          Šis dokuments ir parakstīts ar drošu elektronisko parakstu un satur laika zīmogu</w:t>
    </w:r>
  </w:p>
  <w:p w14:paraId="1BA8E2C3" w14:textId="77777777" w:rsidR="00000000" w:rsidRDefault="00000000">
    <w:r>
      <w:t xml:space="preserve">          Šis dokuments ir parakstīts ar drošu elektronisko parakstu un satur laika zīmogu</w:t>
    </w:r>
  </w:p>
  <w:p w14:paraId="3910172D" w14:textId="77777777" w:rsidR="00000000" w:rsidRDefault="00000000">
    <w:r>
      <w:t xml:space="preserve">          Šis dokuments ir parakstīts ar drošu elektronisko parakstu un satur laika zīmogu</w:t>
    </w:r>
  </w:p>
  <w:p w14:paraId="3955E600" w14:textId="77777777" w:rsidR="00000000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0BF53" w14:textId="77777777" w:rsidR="00BE0A8D" w:rsidRDefault="00BE0A8D" w:rsidP="009C34CD">
      <w:pPr>
        <w:spacing w:after="0" w:line="240" w:lineRule="auto"/>
      </w:pPr>
      <w:r>
        <w:separator/>
      </w:r>
    </w:p>
  </w:footnote>
  <w:footnote w:type="continuationSeparator" w:id="0">
    <w:p w14:paraId="535F813C" w14:textId="77777777" w:rsidR="00BE0A8D" w:rsidRDefault="00BE0A8D" w:rsidP="009C34CD">
      <w:pPr>
        <w:spacing w:after="0" w:line="240" w:lineRule="auto"/>
      </w:pPr>
      <w:r>
        <w:continuationSeparator/>
      </w:r>
    </w:p>
  </w:footnote>
  <w:footnote w:id="1">
    <w:p w14:paraId="4E996D5F" w14:textId="77777777" w:rsidR="009C34CD" w:rsidRDefault="009C34CD" w:rsidP="009C34CD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CD"/>
    <w:rsid w:val="000406B9"/>
    <w:rsid w:val="001A4444"/>
    <w:rsid w:val="008E4647"/>
    <w:rsid w:val="009C34CD"/>
    <w:rsid w:val="00B042AA"/>
    <w:rsid w:val="00BE0A8D"/>
    <w:rsid w:val="00D4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3FAA"/>
  <w15:chartTrackingRefBased/>
  <w15:docId w15:val="{B168F17C-9CF2-4A50-A6CB-207452B2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C34C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C34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C34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C34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C34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C34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C34C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C34C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C34C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C34C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C3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C3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C34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C34CD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C34CD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C34C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C34C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C34C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C34C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C3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C3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C34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C3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C34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9C34CD"/>
    <w:rPr>
      <w:i/>
      <w:iCs/>
      <w:color w:val="404040" w:themeColor="text1" w:themeTint="BF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9C34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9C34C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C3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C34C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C34CD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rsid w:val="009C34C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9C34CD"/>
  </w:style>
  <w:style w:type="paragraph" w:styleId="Vresteksts">
    <w:name w:val="footnote text"/>
    <w:basedOn w:val="Parasts"/>
    <w:link w:val="VrestekstsRakstz"/>
    <w:rsid w:val="009C34C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9C34CD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aliases w:val="Footnote Reference Number,Footnote symbol,ftref"/>
    <w:uiPriority w:val="99"/>
    <w:rsid w:val="009C34CD"/>
    <w:rPr>
      <w:vertAlign w:val="superscript"/>
    </w:rPr>
  </w:style>
  <w:style w:type="paragraph" w:styleId="Pamattekstaatkpe2">
    <w:name w:val="Body Text Indent 2"/>
    <w:basedOn w:val="Parasts"/>
    <w:link w:val="Pamattekstaatkpe2Rakstz"/>
    <w:rsid w:val="009C34C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ko-KR"/>
    </w:rPr>
  </w:style>
  <w:style w:type="character" w:customStyle="1" w:styleId="Pamattekstaatkpe2Rakstz">
    <w:name w:val="Pamatteksta atkāpe 2 Rakstz."/>
    <w:basedOn w:val="Noklusjumarindkopasfonts"/>
    <w:link w:val="Pamattekstaatkpe2"/>
    <w:rsid w:val="009C34CD"/>
    <w:rPr>
      <w:rFonts w:ascii="Times New Roman" w:eastAsia="Times New Roman" w:hAnsi="Times New Roman" w:cs="Times New Roman"/>
      <w:kern w:val="0"/>
      <w:sz w:val="24"/>
      <w:szCs w:val="24"/>
      <w:lang w:val="x-none"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1293</Words>
  <Characters>738</Characters>
  <Application>Microsoft Office Word</Application>
  <DocSecurity>0</DocSecurity>
  <Lines>6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1</cp:revision>
  <dcterms:created xsi:type="dcterms:W3CDTF">2025-02-11T13:41:00Z</dcterms:created>
  <dcterms:modified xsi:type="dcterms:W3CDTF">2025-02-11T13:42:00Z</dcterms:modified>
</cp:coreProperties>
</file>