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8FFFF92" w:rsidR="00342E34" w:rsidRDefault="00652EF3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2306EFC7" w:rsidR="00342E34" w:rsidRPr="00D24A2C" w:rsidRDefault="00342E34" w:rsidP="00342E34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Hlk142294082"/>
      <w:bookmarkStart w:id="1" w:name="_Hlk134689284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bookmarkStart w:id="2" w:name="_Hlk143174115"/>
      <w:bookmarkStart w:id="3" w:name="_Hlk142573857"/>
      <w:r w:rsidR="009D49CB">
        <w:rPr>
          <w:rFonts w:ascii="Times New Roman" w:eastAsia="Times New Roman" w:hAnsi="Times New Roman"/>
          <w:b/>
          <w:sz w:val="28"/>
          <w:szCs w:val="28"/>
        </w:rPr>
        <w:t>Traktortehnikas pakalpojumi</w:t>
      </w:r>
      <w:r w:rsidR="00647C28">
        <w:rPr>
          <w:rFonts w:ascii="Times New Roman" w:eastAsia="Times New Roman" w:hAnsi="Times New Roman"/>
          <w:b/>
          <w:sz w:val="28"/>
          <w:szCs w:val="28"/>
        </w:rPr>
        <w:t xml:space="preserve">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>”</w:t>
      </w:r>
      <w:bookmarkEnd w:id="2"/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, </w:t>
      </w:r>
    </w:p>
    <w:bookmarkEnd w:id="0"/>
    <w:p w14:paraId="630C7DCE" w14:textId="4B89811F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652EF3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F25753">
        <w:rPr>
          <w:rFonts w:ascii="Times New Roman" w:eastAsia="Times New Roman" w:hAnsi="Times New Roman"/>
          <w:b/>
          <w:sz w:val="24"/>
          <w:szCs w:val="24"/>
        </w:rPr>
        <w:t>1</w:t>
      </w:r>
      <w:r w:rsidR="00BE3754">
        <w:rPr>
          <w:rFonts w:ascii="Times New Roman" w:eastAsia="Times New Roman" w:hAnsi="Times New Roman"/>
          <w:b/>
          <w:sz w:val="24"/>
          <w:szCs w:val="24"/>
        </w:rPr>
        <w:t>1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652EF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3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7C617171" w:rsidR="00342E34" w:rsidRDefault="00342E34" w:rsidP="001548FD">
      <w:pPr>
        <w:pStyle w:val="Default"/>
        <w:jc w:val="both"/>
      </w:pPr>
      <w:r w:rsidRPr="004A6B3A">
        <w:t>2.1.</w:t>
      </w:r>
      <w:r w:rsidR="00C744A9" w:rsidRPr="00C744A9">
        <w:rPr>
          <w:rFonts w:eastAsia="Times New Roman"/>
          <w:b/>
          <w:sz w:val="28"/>
          <w:szCs w:val="28"/>
        </w:rPr>
        <w:t xml:space="preserve"> </w:t>
      </w:r>
      <w:r w:rsidR="009D49CB">
        <w:rPr>
          <w:rFonts w:eastAsia="Times New Roman"/>
          <w:bCs/>
        </w:rPr>
        <w:t xml:space="preserve">Traktortehnikas pakalpojumi </w:t>
      </w:r>
      <w:r w:rsidR="00F943CB">
        <w:rPr>
          <w:rFonts w:eastAsia="Times New Roman"/>
          <w:bCs/>
        </w:rPr>
        <w:t>Iecav</w:t>
      </w:r>
      <w:r w:rsidR="00F25753">
        <w:rPr>
          <w:rFonts w:eastAsia="Times New Roman"/>
          <w:bCs/>
        </w:rPr>
        <w:t>ā</w:t>
      </w:r>
      <w:r w:rsidR="00F943CB">
        <w:rPr>
          <w:rFonts w:eastAsia="Times New Roman"/>
          <w:bCs/>
        </w:rPr>
        <w:t xml:space="preserve"> un pilsētas teritorijā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6813C5F0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F25753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C744A9">
        <w:rPr>
          <w:rFonts w:ascii="Times New Roman" w:eastAsia="Times New Roman" w:hAnsi="Times New Roman"/>
          <w:bCs/>
          <w:sz w:val="24"/>
          <w:szCs w:val="24"/>
        </w:rPr>
        <w:t>1</w:t>
      </w:r>
      <w:r w:rsidR="00F25753">
        <w:rPr>
          <w:rFonts w:ascii="Times New Roman" w:eastAsia="Times New Roman" w:hAnsi="Times New Roman"/>
          <w:bCs/>
          <w:sz w:val="24"/>
          <w:szCs w:val="24"/>
        </w:rPr>
        <w:t>0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F2575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7343B8D8" w:rsidR="00342E34" w:rsidRPr="004A6B3A" w:rsidRDefault="00342E34" w:rsidP="00342E34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F25753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9D49CB">
        <w:rPr>
          <w:rFonts w:ascii="Times New Roman" w:hAnsi="Times New Roman"/>
          <w:b/>
          <w:sz w:val="24"/>
          <w:szCs w:val="24"/>
        </w:rPr>
        <w:t>2</w:t>
      </w:r>
      <w:r w:rsidR="00F25753">
        <w:rPr>
          <w:rFonts w:ascii="Times New Roman" w:hAnsi="Times New Roman"/>
          <w:b/>
          <w:sz w:val="24"/>
          <w:szCs w:val="24"/>
        </w:rPr>
        <w:t>5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F25753">
        <w:rPr>
          <w:rFonts w:ascii="Times New Roman" w:hAnsi="Times New Roman"/>
          <w:b/>
          <w:sz w:val="24"/>
          <w:szCs w:val="24"/>
        </w:rPr>
        <w:t>aprīlim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F25753" w:rsidRPr="004D658F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40AB4666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639F">
        <w:rPr>
          <w:rFonts w:ascii="Times New Roman" w:hAnsi="Times New Roman"/>
          <w:sz w:val="24"/>
          <w:szCs w:val="24"/>
        </w:rPr>
        <w:t>Līguma izpildes laiks:</w:t>
      </w:r>
      <w:r w:rsidRPr="00AF2BDB">
        <w:rPr>
          <w:rFonts w:ascii="Times New Roman" w:hAnsi="Times New Roman"/>
          <w:sz w:val="24"/>
          <w:szCs w:val="24"/>
        </w:rPr>
        <w:t xml:space="preserve"> </w:t>
      </w:r>
      <w:r w:rsidR="00F943CB">
        <w:rPr>
          <w:rFonts w:ascii="Times New Roman" w:hAnsi="Times New Roman"/>
          <w:sz w:val="24"/>
          <w:szCs w:val="24"/>
        </w:rPr>
        <w:t xml:space="preserve">12 mēnešu periods </w:t>
      </w:r>
      <w:r w:rsidR="00310C58">
        <w:rPr>
          <w:rFonts w:ascii="Times New Roman" w:hAnsi="Times New Roman"/>
          <w:sz w:val="24"/>
          <w:szCs w:val="24"/>
        </w:rPr>
        <w:t>no līguma parakstīšanas dienas</w:t>
      </w:r>
      <w:r w:rsidR="00AF2BDB" w:rsidRPr="00AF2BDB">
        <w:rPr>
          <w:rFonts w:ascii="Times New Roman" w:hAnsi="Times New Roman"/>
          <w:sz w:val="24"/>
          <w:szCs w:val="24"/>
        </w:rPr>
        <w:t>.</w:t>
      </w:r>
    </w:p>
    <w:p w14:paraId="2BDC3613" w14:textId="429C7810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Iecava, </w:t>
      </w:r>
      <w:r w:rsidR="001548FD" w:rsidRPr="005029EE">
        <w:rPr>
          <w:rFonts w:asciiTheme="majorBidi" w:eastAsiaTheme="minorHAnsi" w:hAnsiTheme="majorBidi" w:cstheme="majorBidi"/>
          <w:color w:val="000000"/>
          <w:sz w:val="24"/>
          <w:szCs w:val="24"/>
        </w:rPr>
        <w:t>Iecavas pagasts</w:t>
      </w:r>
      <w:r w:rsidR="001548FD" w:rsidRPr="005029EE">
        <w:rPr>
          <w:rFonts w:asciiTheme="majorBidi" w:hAnsiTheme="majorBidi" w:cstheme="majorBidi"/>
        </w:rPr>
        <w:t>, Bauskas novads</w:t>
      </w:r>
      <w:r w:rsidR="00FB0951">
        <w:rPr>
          <w:rFonts w:asciiTheme="majorBidi" w:hAnsiTheme="majorBidi" w:cstheme="majorBidi"/>
        </w:rPr>
        <w:t xml:space="preserve"> un </w:t>
      </w:r>
      <w:r w:rsidR="00FB0951" w:rsidRPr="00FB0951">
        <w:rPr>
          <w:rFonts w:asciiTheme="majorBidi" w:hAnsiTheme="majorBidi" w:cstheme="majorBidi"/>
        </w:rPr>
        <w:t>pagasta teritorija līdz 10 km radiusā no Iecavas centra</w:t>
      </w:r>
      <w:r w:rsidR="00FB0951">
        <w:rPr>
          <w:rFonts w:asciiTheme="majorBidi" w:hAnsiTheme="majorBidi" w:cstheme="majorBidi"/>
        </w:rPr>
        <w:t>:</w:t>
      </w:r>
      <w:r w:rsidR="00FB0951" w:rsidRPr="00FB0951">
        <w:rPr>
          <w:rFonts w:asciiTheme="majorBidi" w:hAnsiTheme="majorBidi" w:cstheme="majorBidi"/>
        </w:rPr>
        <w:t xml:space="preserve"> Dzimtmisa, Dimzukalns, Rosme, Zorģi, Zālīte.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704AF001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</w:t>
      </w:r>
      <w:r w:rsidR="00E25420">
        <w:rPr>
          <w:rFonts w:ascii="Times New Roman" w:hAnsi="Times New Roman"/>
          <w:sz w:val="24"/>
          <w:szCs w:val="24"/>
        </w:rPr>
        <w:t xml:space="preserve"> (pievienots Excell fails)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0CAAAB22" w14:textId="77777777" w:rsidR="00342E34" w:rsidRDefault="00342E34" w:rsidP="00342E34"/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2B361C8" w14:textId="77777777" w:rsidR="0048649D" w:rsidRPr="0048649D" w:rsidRDefault="0048649D" w:rsidP="0048649D">
      <w:pPr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649D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14:paraId="0ECF4216" w14:textId="0ADB2954" w:rsidR="00F25753" w:rsidRPr="00D24A2C" w:rsidRDefault="00F25753" w:rsidP="00F25753">
      <w:pPr>
        <w:rPr>
          <w:rFonts w:ascii="Times New Roman" w:eastAsia="Times New Roman" w:hAnsi="Times New Roman"/>
          <w:b/>
          <w:sz w:val="28"/>
          <w:szCs w:val="28"/>
        </w:rPr>
      </w:pPr>
      <w:bookmarkStart w:id="4" w:name="_Hlk142574030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Traktortehnikas pakalpojumi</w:t>
      </w:r>
      <w:r w:rsidR="00647C28">
        <w:rPr>
          <w:rFonts w:ascii="Times New Roman" w:eastAsia="Times New Roman" w:hAnsi="Times New Roman"/>
          <w:b/>
          <w:sz w:val="28"/>
          <w:szCs w:val="28"/>
        </w:rPr>
        <w:t xml:space="preserve">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720F1217" w14:textId="5244E6E1" w:rsidR="00FB0951" w:rsidRDefault="00F25753" w:rsidP="00647C2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10/CA</w:t>
      </w:r>
    </w:p>
    <w:p w14:paraId="1007121D" w14:textId="77777777" w:rsidR="00FB0951" w:rsidRPr="005045ED" w:rsidRDefault="00FB0951" w:rsidP="00E25420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5463"/>
        <w:gridCol w:w="1210"/>
        <w:gridCol w:w="1134"/>
      </w:tblGrid>
      <w:tr w:rsidR="009D49CB" w:rsidRPr="009D49CB" w14:paraId="6443F835" w14:textId="77777777" w:rsidTr="009D49CB">
        <w:trPr>
          <w:trHeight w:val="510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4"/>
          <w:p w14:paraId="1C098AE4" w14:textId="467A61AF" w:rsidR="009D49CB" w:rsidRPr="009D49CB" w:rsidRDefault="009D49C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5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2168F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Pakalpojuma nosaukums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3B98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39A4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Daudzums</w:t>
            </w:r>
          </w:p>
        </w:tc>
      </w:tr>
      <w:tr w:rsidR="009D49CB" w:rsidRPr="009D49CB" w14:paraId="23530D92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FE25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92B3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Universālais traktors New Holland LB115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E53F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846A" w14:textId="0621212F" w:rsidR="009D49CB" w:rsidRPr="009D49CB" w:rsidRDefault="00647C28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</w:tr>
      <w:tr w:rsidR="009D49CB" w:rsidRPr="009D49CB" w14:paraId="6EBF655B" w14:textId="77777777" w:rsidTr="009D49CB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7201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73A4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 ekskavators Volvo ECR25D, 2,5tonnas 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4E45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71ED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9D49CB" w:rsidRPr="009D49CB" w14:paraId="0AAFEA53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3AC9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0C10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6986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1DDB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</w:tr>
      <w:tr w:rsidR="009D49CB" w:rsidRPr="009D49CB" w14:paraId="411D80A4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331E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CBE3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699A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km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243D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400</w:t>
            </w:r>
          </w:p>
        </w:tc>
      </w:tr>
      <w:tr w:rsidR="009D49CB" w:rsidRPr="009D49CB" w14:paraId="6B068304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F2D0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EA3B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BD03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055D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</w:tr>
      <w:tr w:rsidR="009D49CB" w:rsidRPr="009D49CB" w14:paraId="64C4ACDD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2603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4125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EC41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1km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3BD9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400</w:t>
            </w:r>
          </w:p>
        </w:tc>
      </w:tr>
    </w:tbl>
    <w:p w14:paraId="23C97B37" w14:textId="5927C396" w:rsidR="0016090D" w:rsidRPr="005045ED" w:rsidRDefault="009D49CB" w:rsidP="00E25420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25420"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2C7AF7EB" w14:textId="25C7C6B1" w:rsidR="00647C28" w:rsidRPr="00D24A2C" w:rsidRDefault="00647C28" w:rsidP="00647C28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Traktortehnikas pakalpojumi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0485C7A5" w14:textId="77777777" w:rsidR="00647C28" w:rsidRDefault="00647C28" w:rsidP="00647C2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10/CA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059792" w14:textId="76617904" w:rsidR="00FB0951" w:rsidRPr="005E7C28" w:rsidRDefault="00FB0951" w:rsidP="005E7C28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2D94BB92" w14:textId="77777777" w:rsidR="00FB0951" w:rsidRPr="00A008F2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DEC8982" w14:textId="77777777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03A74C4A" w14:textId="1395889B" w:rsidR="00647C28" w:rsidRPr="00D24A2C" w:rsidRDefault="00647C28" w:rsidP="00647C28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Traktortehnikas pakalpojumi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3B1D5AC5" w14:textId="1187B9B5" w:rsidR="00FB0951" w:rsidRPr="001F5DED" w:rsidRDefault="00647C28" w:rsidP="00647C2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10/CA</w:t>
      </w:r>
    </w:p>
    <w:p w14:paraId="702FFD66" w14:textId="77777777" w:rsidR="00FB0951" w:rsidRPr="006B1AA0" w:rsidRDefault="00FB0951" w:rsidP="00FB0951">
      <w:pPr>
        <w:framePr w:hSpace="180" w:wrap="around" w:vAnchor="text" w:hAnchor="page" w:x="1681" w:y="136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C1916FB" w14:textId="4703C320" w:rsidR="00FB0951" w:rsidRPr="004B339E" w:rsidRDefault="00FB0951" w:rsidP="00FB0951">
      <w:pPr>
        <w:framePr w:hSpace="180" w:wrap="around" w:vAnchor="text" w:hAnchor="page" w:x="1681" w:y="136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 w:rsidR="009D49CB">
        <w:rPr>
          <w:rFonts w:ascii="Times New Roman" w:eastAsia="Times New Roman" w:hAnsi="Times New Roman"/>
          <w:bCs/>
          <w:sz w:val="24"/>
          <w:szCs w:val="24"/>
        </w:rPr>
        <w:t>Traktortehnikas pakalpojumi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Iecavas</w:t>
      </w:r>
      <w:r w:rsidR="005E7C2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47C28">
        <w:rPr>
          <w:rFonts w:ascii="Times New Roman" w:eastAsia="Times New Roman" w:hAnsi="Times New Roman"/>
          <w:bCs/>
          <w:sz w:val="24"/>
          <w:szCs w:val="24"/>
        </w:rPr>
        <w:t>apvienības pārvaldei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 w:rsidR="005E7C28">
        <w:rPr>
          <w:rFonts w:ascii="Times New Roman" w:eastAsia="Times New Roman" w:hAnsi="Times New Roman"/>
          <w:bCs/>
          <w:sz w:val="24"/>
          <w:szCs w:val="24"/>
        </w:rPr>
        <w:t>5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="005E7C28">
        <w:rPr>
          <w:rFonts w:ascii="Times New Roman" w:eastAsia="Times New Roman" w:hAnsi="Times New Roman"/>
          <w:bCs/>
          <w:sz w:val="24"/>
          <w:szCs w:val="24"/>
        </w:rPr>
        <w:t>0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5E7C28"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veikt pakalpojumu par šādu līgumcenu:</w:t>
      </w:r>
    </w:p>
    <w:tbl>
      <w:tblPr>
        <w:tblW w:w="9421" w:type="dxa"/>
        <w:tblLook w:val="04A0" w:firstRow="1" w:lastRow="0" w:firstColumn="1" w:lastColumn="0" w:noHBand="0" w:noVBand="1"/>
      </w:tblPr>
      <w:tblGrid>
        <w:gridCol w:w="817"/>
        <w:gridCol w:w="4087"/>
        <w:gridCol w:w="1323"/>
        <w:gridCol w:w="1243"/>
        <w:gridCol w:w="1096"/>
        <w:gridCol w:w="855"/>
      </w:tblGrid>
      <w:tr w:rsidR="000B1959" w:rsidRPr="000B1959" w14:paraId="2FBE28B9" w14:textId="77777777" w:rsidTr="00647C28">
        <w:trPr>
          <w:trHeight w:val="51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1E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N.P.K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28A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Pakalpojuma nosaukums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21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ED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Daudzums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2228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Vienības izmaksas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4DDE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</w:tr>
      <w:tr w:rsidR="000B1959" w:rsidRPr="000B1959" w14:paraId="0FA653BD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A57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69DF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Universālais traktors New Holland LB115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7AD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59D" w14:textId="652100B7" w:rsidR="000B1959" w:rsidRPr="000B1959" w:rsidRDefault="00647C28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  <w:r w:rsidR="000B1959"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C48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66ED" w14:textId="262B781C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3E63788A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1A1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E1A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Mini ekskavators Volvo ECR25D, 2,5tonnas 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5F2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130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B31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0C145" w14:textId="6CAB7E18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0EF782B0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255F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5BD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4482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210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A8D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93BC9" w14:textId="0A115A34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7D7AD2D0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64B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9977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4B7C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km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B69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C43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83E6" w14:textId="56BE3D8D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18073C06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19B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74D0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2FE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158A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BB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49C92" w14:textId="5B4C410F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5DC4ACD9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6162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D713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204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1km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C53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0D2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A8BDE" w14:textId="1768B970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1480FD21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1425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A1DC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DA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B4E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5CE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AD7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0B1959" w:rsidRPr="000B1959" w14:paraId="23FABCD3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85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ABD5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CDF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 bez PVN 21%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56B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B8E" w14:textId="67027BF5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959" w:rsidRPr="000B1959" w14:paraId="66DF7B83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B667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7FC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165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9BF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23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33E" w14:textId="20CA5275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959" w:rsidRPr="000B1959" w14:paraId="6CAE2517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3033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E5AD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CD4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1F5C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FBE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3019" w14:textId="02EA27CB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9938ECC" w14:textId="77777777" w:rsidR="00FB0951" w:rsidRPr="006B1AA0" w:rsidRDefault="00FB0951" w:rsidP="00FB0951">
      <w:pPr>
        <w:spacing w:before="120" w:after="12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17E098F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B417DBB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Līgumcenā ir iekļautas visas iespējamās izmaksas, kas saistītas ar pakalpojumu veikšanu tajā skaitā visi riski, nodokļi, nodevas, </w:t>
      </w:r>
      <w:r w:rsidRPr="006B1AA0">
        <w:rPr>
          <w:rFonts w:ascii="Times New Roman" w:eastAsia="TimesNewRoman" w:hAnsi="Times New Roman"/>
          <w:sz w:val="24"/>
          <w:szCs w:val="24"/>
          <w:lang w:eastAsia="lv-LV"/>
        </w:rPr>
        <w:t>atlīdzība transportlīdzekļu vadītājiem, degvielas izmaksas u.c.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FB0951" w:rsidRPr="006B1AA0" w14:paraId="5005D2CA" w14:textId="77777777" w:rsidTr="00BA5208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0A812D0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8AA1574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14508EE" w14:textId="77777777" w:rsidTr="00BA5208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0A746C7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2F711BD2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F5277E7" w14:textId="77777777" w:rsidTr="00BA5208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70744A6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858521A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540D42FC" w14:textId="77777777" w:rsidTr="00BA5208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9CEA53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57A4458E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86648B3" w14:textId="77777777" w:rsidR="00A15140" w:rsidRPr="00D851D7" w:rsidRDefault="00A15140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sectPr w:rsidR="00A15140" w:rsidRPr="00D851D7" w:rsidSect="005E7C28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6"/>
  </w:num>
  <w:num w:numId="2" w16cid:durableId="1004825687">
    <w:abstractNumId w:val="3"/>
  </w:num>
  <w:num w:numId="3" w16cid:durableId="1096561678">
    <w:abstractNumId w:val="7"/>
  </w:num>
  <w:num w:numId="4" w16cid:durableId="750195034">
    <w:abstractNumId w:val="9"/>
  </w:num>
  <w:num w:numId="5" w16cid:durableId="1486117890">
    <w:abstractNumId w:val="1"/>
  </w:num>
  <w:num w:numId="6" w16cid:durableId="1942177742">
    <w:abstractNumId w:val="2"/>
  </w:num>
  <w:num w:numId="7" w16cid:durableId="263344276">
    <w:abstractNumId w:val="10"/>
  </w:num>
  <w:num w:numId="8" w16cid:durableId="1960645530">
    <w:abstractNumId w:val="5"/>
  </w:num>
  <w:num w:numId="9" w16cid:durableId="747193123">
    <w:abstractNumId w:val="4"/>
  </w:num>
  <w:num w:numId="10" w16cid:durableId="1452626412">
    <w:abstractNumId w:val="8"/>
  </w:num>
  <w:num w:numId="11" w16cid:durableId="1087338410">
    <w:abstractNumId w:val="5"/>
  </w:num>
  <w:num w:numId="12" w16cid:durableId="210924762">
    <w:abstractNumId w:val="8"/>
  </w:num>
  <w:num w:numId="13" w16cid:durableId="1035731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0B1959"/>
    <w:rsid w:val="00122A0E"/>
    <w:rsid w:val="001548FD"/>
    <w:rsid w:val="0016090D"/>
    <w:rsid w:val="001F5DED"/>
    <w:rsid w:val="00255E58"/>
    <w:rsid w:val="00281D13"/>
    <w:rsid w:val="00310C58"/>
    <w:rsid w:val="00342E34"/>
    <w:rsid w:val="003434B0"/>
    <w:rsid w:val="00386651"/>
    <w:rsid w:val="004304DF"/>
    <w:rsid w:val="0043639F"/>
    <w:rsid w:val="00455457"/>
    <w:rsid w:val="0048649D"/>
    <w:rsid w:val="004B339E"/>
    <w:rsid w:val="004C6677"/>
    <w:rsid w:val="005029EE"/>
    <w:rsid w:val="0053253B"/>
    <w:rsid w:val="0056734B"/>
    <w:rsid w:val="00594544"/>
    <w:rsid w:val="005A060B"/>
    <w:rsid w:val="005D0907"/>
    <w:rsid w:val="005E7C28"/>
    <w:rsid w:val="00631F7D"/>
    <w:rsid w:val="00647C28"/>
    <w:rsid w:val="00652EF3"/>
    <w:rsid w:val="006B1AA0"/>
    <w:rsid w:val="00752AA0"/>
    <w:rsid w:val="007A132C"/>
    <w:rsid w:val="007D5CDF"/>
    <w:rsid w:val="007E10BF"/>
    <w:rsid w:val="007E5CC2"/>
    <w:rsid w:val="00804977"/>
    <w:rsid w:val="00853A79"/>
    <w:rsid w:val="00884F7F"/>
    <w:rsid w:val="009A50E3"/>
    <w:rsid w:val="009D49CB"/>
    <w:rsid w:val="00A02E1E"/>
    <w:rsid w:val="00A15140"/>
    <w:rsid w:val="00A172A9"/>
    <w:rsid w:val="00AF2BDB"/>
    <w:rsid w:val="00BB5A5D"/>
    <w:rsid w:val="00BE3754"/>
    <w:rsid w:val="00C0511C"/>
    <w:rsid w:val="00C35908"/>
    <w:rsid w:val="00C52DB5"/>
    <w:rsid w:val="00C744A9"/>
    <w:rsid w:val="00C81C3D"/>
    <w:rsid w:val="00D24A2C"/>
    <w:rsid w:val="00D851D7"/>
    <w:rsid w:val="00E25420"/>
    <w:rsid w:val="00E5363A"/>
    <w:rsid w:val="00F24689"/>
    <w:rsid w:val="00F25753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ma.melnika@bausk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4</cp:revision>
  <cp:lastPrinted>2023-08-17T11:19:00Z</cp:lastPrinted>
  <dcterms:created xsi:type="dcterms:W3CDTF">2025-04-17T11:07:00Z</dcterms:created>
  <dcterms:modified xsi:type="dcterms:W3CDTF">2025-04-17T11:20:00Z</dcterms:modified>
</cp:coreProperties>
</file>