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57CC5978"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4</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0E12B6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B91267">
        <w:rPr>
          <w:rFonts w:cs="Times New Roman"/>
          <w:color w:val="000000" w:themeColor="text1"/>
        </w:rPr>
        <w:t>4</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0175</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9A4681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A74296">
        <w:rPr>
          <w:rFonts w:cs="Times New Roman"/>
          <w:b/>
          <w:bCs/>
          <w:color w:val="000000" w:themeColor="text1"/>
        </w:rPr>
        <w:t>28.maijā</w:t>
      </w:r>
      <w:r w:rsidRPr="00AF73CE">
        <w:rPr>
          <w:rFonts w:cs="Times New Roman"/>
          <w:b/>
          <w:bCs/>
          <w:color w:val="000000" w:themeColor="text1"/>
        </w:rPr>
        <w:t xml:space="preserve"> plkst.</w:t>
      </w:r>
      <w:r w:rsidR="00A74296">
        <w:rPr>
          <w:rFonts w:cs="Times New Roman"/>
          <w:b/>
          <w:bCs/>
        </w:rPr>
        <w:t>11.40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D3A061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A74296">
        <w:rPr>
          <w:rFonts w:cs="Times New Roman"/>
          <w:b/>
          <w:bCs/>
          <w:color w:val="000000" w:themeColor="text1"/>
        </w:rPr>
        <w:t>2 4</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B91267">
        <w:rPr>
          <w:rFonts w:cs="Times New Roman"/>
          <w:color w:val="000000" w:themeColor="text1"/>
        </w:rPr>
        <w:t>divi</w:t>
      </w:r>
      <w:r w:rsidR="00253D7A">
        <w:rPr>
          <w:rFonts w:cs="Times New Roman"/>
          <w:color w:val="000000" w:themeColor="text1"/>
        </w:rPr>
        <w:t xml:space="preserve"> tūkstoši</w:t>
      </w:r>
      <w:r w:rsidR="00934F3F">
        <w:rPr>
          <w:rFonts w:cs="Times New Roman"/>
          <w:color w:val="000000" w:themeColor="text1"/>
        </w:rPr>
        <w:t xml:space="preserve"> </w:t>
      </w:r>
      <w:r w:rsidR="00A74296">
        <w:rPr>
          <w:rFonts w:cs="Times New Roman"/>
          <w:color w:val="000000" w:themeColor="text1"/>
        </w:rPr>
        <w:t>četri</w:t>
      </w:r>
      <w:r w:rsidR="00934F3F">
        <w:rPr>
          <w:rFonts w:cs="Times New Roman"/>
          <w:color w:val="000000" w:themeColor="text1"/>
        </w:rPr>
        <w:t xml:space="preserve"> 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31ACD75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B91267">
        <w:rPr>
          <w:rFonts w:cs="Times New Roman"/>
          <w:b/>
          <w:bCs/>
          <w:color w:val="000000" w:themeColor="text1"/>
        </w:rPr>
        <w:t>2</w:t>
      </w:r>
      <w:r w:rsidR="00A74296">
        <w:rPr>
          <w:rFonts w:cs="Times New Roman"/>
          <w:b/>
          <w:bCs/>
          <w:color w:val="000000" w:themeColor="text1"/>
        </w:rPr>
        <w:t>4</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B91267">
        <w:rPr>
          <w:rFonts w:cs="Times New Roman"/>
          <w:color w:val="000000" w:themeColor="text1"/>
        </w:rPr>
        <w:t>divi</w:t>
      </w:r>
      <w:r w:rsidR="00C23D43">
        <w:rPr>
          <w:rFonts w:cs="Times New Roman"/>
          <w:color w:val="000000" w:themeColor="text1"/>
        </w:rPr>
        <w:t xml:space="preserve"> </w:t>
      </w:r>
      <w:r w:rsidR="00253D7A">
        <w:rPr>
          <w:rFonts w:cs="Times New Roman"/>
          <w:color w:val="000000" w:themeColor="text1"/>
        </w:rPr>
        <w:t>simti</w:t>
      </w:r>
      <w:r w:rsidR="00B91267">
        <w:rPr>
          <w:rFonts w:cs="Times New Roman"/>
          <w:color w:val="000000" w:themeColor="text1"/>
        </w:rPr>
        <w:t xml:space="preserve"> </w:t>
      </w:r>
      <w:r w:rsidR="00A74296">
        <w:rPr>
          <w:rFonts w:cs="Times New Roman"/>
          <w:color w:val="000000" w:themeColor="text1"/>
        </w:rPr>
        <w:t>četr</w:t>
      </w:r>
      <w:r w:rsidR="00B91267">
        <w:rPr>
          <w:rFonts w:cs="Times New Roman"/>
          <w:color w:val="000000" w:themeColor="text1"/>
        </w:rPr>
        <w:t>desmit</w:t>
      </w:r>
      <w:r w:rsidR="00380941">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5D81A394"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B91267">
        <w:rPr>
          <w:rFonts w:cs="Times New Roman"/>
          <w:b/>
          <w:bCs/>
          <w:color w:val="000000" w:themeColor="text1"/>
        </w:rPr>
        <w:t>2</w:t>
      </w:r>
      <w:r w:rsidR="00A74296">
        <w:rPr>
          <w:rFonts w:cs="Times New Roman"/>
          <w:b/>
          <w:bCs/>
          <w:color w:val="000000" w:themeColor="text1"/>
        </w:rPr>
        <w:t>4</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B91267">
        <w:rPr>
          <w:rFonts w:cs="Times New Roman"/>
          <w:color w:val="000000" w:themeColor="text1"/>
        </w:rPr>
        <w:t xml:space="preserve">divi </w:t>
      </w:r>
      <w:r w:rsidR="007D50F8">
        <w:rPr>
          <w:rFonts w:cs="Times New Roman"/>
          <w:color w:val="000000" w:themeColor="text1"/>
        </w:rPr>
        <w:t>simt</w:t>
      </w:r>
      <w:r w:rsidR="00253D7A">
        <w:rPr>
          <w:rFonts w:cs="Times New Roman"/>
          <w:color w:val="000000" w:themeColor="text1"/>
        </w:rPr>
        <w:t>i</w:t>
      </w:r>
      <w:r w:rsidR="00C23D43">
        <w:rPr>
          <w:rFonts w:cs="Times New Roman"/>
          <w:color w:val="000000" w:themeColor="text1"/>
        </w:rPr>
        <w:t xml:space="preserve"> </w:t>
      </w:r>
      <w:r w:rsidR="00A74296">
        <w:rPr>
          <w:rFonts w:cs="Times New Roman"/>
          <w:color w:val="000000" w:themeColor="text1"/>
        </w:rPr>
        <w:t>četr</w:t>
      </w:r>
      <w:r w:rsidR="00C23D43">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,,Vaski”- 4,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AADEBF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F830B0">
        <w:rPr>
          <w:rFonts w:cs="Times New Roman"/>
          <w:color w:val="000000" w:themeColor="text1"/>
        </w:rPr>
        <w:t>4</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02BDE2FF"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7A75CB">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74733D26" w:rsidR="002745CE" w:rsidRPr="007A75CB" w:rsidRDefault="00FB0E7B" w:rsidP="002745CE">
      <w:pPr>
        <w:numPr>
          <w:ilvl w:val="0"/>
          <w:numId w:val="2"/>
        </w:numPr>
        <w:ind w:left="0" w:firstLine="0"/>
        <w:jc w:val="both"/>
        <w:rPr>
          <w:rFonts w:cs="Times New Roman"/>
        </w:rPr>
      </w:pPr>
      <w:r w:rsidRPr="007A75CB">
        <w:rPr>
          <w:rFonts w:cs="Times New Roman"/>
        </w:rPr>
        <w:t xml:space="preserve">Objekta apskates vieta un laiks – pēc iepriekšējas vienošanās ar kontaktpersonu </w:t>
      </w:r>
      <w:r w:rsidR="00710EA7" w:rsidRPr="007A75CB">
        <w:rPr>
          <w:rFonts w:cs="Times New Roman"/>
        </w:rPr>
        <w:t>–</w:t>
      </w:r>
      <w:r w:rsidR="007A75CB" w:rsidRPr="007A75CB">
        <w:rPr>
          <w:rFonts w:cs="Times New Roman"/>
        </w:rPr>
        <w:t xml:space="preserve"> </w:t>
      </w:r>
      <w:r w:rsidR="00123357" w:rsidRPr="007A75CB">
        <w:rPr>
          <w:rFonts w:cs="Times New Roman"/>
        </w:rPr>
        <w:t xml:space="preserve">Santa Bračka, </w:t>
      </w:r>
      <w:r w:rsidR="007A75CB" w:rsidRPr="007A75CB">
        <w:rPr>
          <w:rFonts w:cs="Times New Roman"/>
        </w:rPr>
        <w:t xml:space="preserve">mob. </w:t>
      </w:r>
      <w:r w:rsidR="00123357" w:rsidRPr="007A75CB">
        <w:rPr>
          <w:rFonts w:cs="Times New Roman"/>
        </w:rPr>
        <w:t>tālr.29373009</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7709185"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F830B0">
        <w:rPr>
          <w:rFonts w:cs="Times New Roman"/>
          <w:color w:val="000000" w:themeColor="text1"/>
        </w:rPr>
        <w:t>5</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F830B0">
        <w:rPr>
          <w:rFonts w:cs="Times New Roman"/>
        </w:rPr>
        <w:t>1</w:t>
      </w:r>
      <w:r w:rsidR="00FB0E7B">
        <w:rPr>
          <w:rFonts w:cs="Times New Roman"/>
        </w:rPr>
        <w:t xml:space="preserve"> m²</w:t>
      </w:r>
      <w:r w:rsidR="00875B15">
        <w:rPr>
          <w:rFonts w:cs="Times New Roman"/>
        </w:rPr>
        <w:t xml:space="preserve"> (1.pielikums)</w:t>
      </w:r>
      <w:r w:rsidR="002745CE">
        <w:rPr>
          <w:rFonts w:cs="Times New Roman"/>
        </w:rPr>
        <w:t>.</w:t>
      </w:r>
      <w:r w:rsidR="001C5773">
        <w:rPr>
          <w:rFonts w:cs="Times New Roman"/>
        </w:rPr>
        <w:t xml:space="preserve"> Dzīvoklis atrodas mājas pirmajā stāvā.</w:t>
      </w:r>
    </w:p>
    <w:p w14:paraId="43F7C3A4" w14:textId="2BF4150C"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100000070111 4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D737A3F"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A74296">
        <w:rPr>
          <w:rFonts w:cs="Times New Roman"/>
          <w:b/>
        </w:rPr>
        <w:t>27.maija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34195180"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A74296">
        <w:rPr>
          <w:rFonts w:cs="Times New Roman"/>
          <w:b/>
          <w:bCs/>
        </w:rPr>
        <w:t>10.jūnijam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7BEBCDA"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77777777" w:rsidR="00B91267" w:rsidRDefault="00B91267">
      <w:pPr>
        <w:spacing w:after="160" w:line="259" w:lineRule="auto"/>
        <w:rPr>
          <w:noProof/>
        </w:rPr>
      </w:pPr>
    </w:p>
    <w:p w14:paraId="28E9D150" w14:textId="781DEE76" w:rsidR="00134CC1" w:rsidRDefault="00B91267" w:rsidP="00B91267">
      <w:pPr>
        <w:spacing w:after="160" w:line="259" w:lineRule="auto"/>
        <w:jc w:val="center"/>
      </w:pPr>
      <w:r>
        <w:rPr>
          <w:noProof/>
        </w:rPr>
        <w:drawing>
          <wp:inline distT="0" distB="0" distL="0" distR="0" wp14:anchorId="2F520D78" wp14:editId="79DB7DF2">
            <wp:extent cx="5934075" cy="3790950"/>
            <wp:effectExtent l="0" t="0" r="9525" b="0"/>
            <wp:docPr id="49746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r w:rsidR="00134CC1">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04A9C60B"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,,Vaski”- 4,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64D93F6"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90 9000175</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22C63513"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4F48FD">
        <w:rPr>
          <w:rFonts w:cs="Times New Roman"/>
          <w:b/>
          <w:bCs/>
        </w:rPr>
        <w:t>2</w:t>
      </w:r>
      <w:r w:rsidR="00A74296">
        <w:rPr>
          <w:rFonts w:cs="Times New Roman"/>
          <w:b/>
          <w:bCs/>
        </w:rPr>
        <w:t>4</w:t>
      </w:r>
      <w:r w:rsidR="004F48FD">
        <w:rPr>
          <w:rFonts w:cs="Times New Roman"/>
          <w:b/>
          <w:bCs/>
        </w:rPr>
        <w:t>0</w:t>
      </w:r>
      <w:r w:rsidR="00737665">
        <w:rPr>
          <w:rFonts w:cs="Times New Roman"/>
          <w:b/>
          <w:bCs/>
        </w:rPr>
        <w:t xml:space="preserve"> </w:t>
      </w:r>
      <w:r w:rsidR="006D0512" w:rsidRPr="006D0512">
        <w:rPr>
          <w:rFonts w:cs="Times New Roman"/>
        </w:rPr>
        <w:t>(</w:t>
      </w:r>
      <w:r w:rsidR="004F48FD">
        <w:rPr>
          <w:rFonts w:cs="Times New Roman"/>
        </w:rPr>
        <w:t>divi</w:t>
      </w:r>
      <w:r w:rsidR="00737665">
        <w:rPr>
          <w:rFonts w:cs="Times New Roman"/>
        </w:rPr>
        <w:t xml:space="preserve"> simti </w:t>
      </w:r>
      <w:r w:rsidR="00A74296">
        <w:rPr>
          <w:rFonts w:cs="Times New Roman"/>
        </w:rPr>
        <w:t>četr</w:t>
      </w:r>
      <w:r w:rsidR="00737665">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A74296">
        <w:rPr>
          <w:rFonts w:cs="Times New Roman"/>
          <w:b/>
          <w:bCs/>
        </w:rPr>
        <w:t>28.maijā</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A74296">
        <w:rPr>
          <w:rFonts w:cs="Times New Roman"/>
          <w:b/>
          <w:bCs/>
        </w:rPr>
        <w:t>11.40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3290 9000175</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70A41E68"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A74296">
        <w:rPr>
          <w:rFonts w:cs="Times New Roman"/>
          <w:b/>
          <w:bCs/>
        </w:rPr>
        <w:t>2</w:t>
      </w:r>
      <w:r w:rsidR="0010609B">
        <w:rPr>
          <w:rFonts w:cs="Times New Roman"/>
          <w:b/>
          <w:bCs/>
        </w:rPr>
        <w:t xml:space="preserve"> </w:t>
      </w:r>
      <w:r w:rsidR="00A74296">
        <w:rPr>
          <w:rFonts w:cs="Times New Roman"/>
          <w:b/>
          <w:bCs/>
        </w:rPr>
        <w:t>400</w:t>
      </w:r>
      <w:r w:rsidR="006D0512" w:rsidRPr="00B10D6B">
        <w:rPr>
          <w:rFonts w:cs="Times New Roman"/>
          <w:b/>
          <w:bCs/>
        </w:rPr>
        <w:t xml:space="preserve"> </w:t>
      </w:r>
      <w:r w:rsidR="006D0512" w:rsidRPr="006D0512">
        <w:rPr>
          <w:rFonts w:cs="Times New Roman"/>
        </w:rPr>
        <w:t>(</w:t>
      </w:r>
      <w:r w:rsidR="004F48FD">
        <w:rPr>
          <w:rFonts w:cs="Times New Roman"/>
        </w:rPr>
        <w:t xml:space="preserve">divi </w:t>
      </w:r>
      <w:r w:rsidR="0002543E">
        <w:rPr>
          <w:rFonts w:cs="Times New Roman"/>
        </w:rPr>
        <w:t>tūkstoši</w:t>
      </w:r>
      <w:r w:rsidR="004F48FD">
        <w:rPr>
          <w:rFonts w:cs="Times New Roman"/>
        </w:rPr>
        <w:t xml:space="preserve"> </w:t>
      </w:r>
      <w:r w:rsidR="00A74296">
        <w:rPr>
          <w:rFonts w:cs="Times New Roman"/>
        </w:rPr>
        <w:t>četri</w:t>
      </w:r>
      <w:r w:rsidR="00B85F81">
        <w:rPr>
          <w:rFonts w:cs="Times New Roman"/>
        </w:rPr>
        <w:t xml:space="preserve"> simti</w:t>
      </w:r>
      <w:r w:rsidR="0002543E">
        <w:rPr>
          <w:rFonts w:cs="Times New Roman"/>
        </w:rPr>
        <w:t xml:space="preserve">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E4B9277"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10609B">
        <w:rPr>
          <w:rFonts w:cs="Times New Roman"/>
          <w:b/>
          <w:bCs/>
        </w:rPr>
        <w:t>28.maijā</w:t>
      </w:r>
      <w:r w:rsidRPr="001C456A">
        <w:rPr>
          <w:rFonts w:cs="Times New Roman"/>
          <w:b/>
          <w:bCs/>
        </w:rPr>
        <w:t xml:space="preserve"> plkst.</w:t>
      </w:r>
      <w:r w:rsidR="0010609B">
        <w:rPr>
          <w:rFonts w:cs="Times New Roman"/>
          <w:b/>
          <w:bCs/>
        </w:rPr>
        <w:t>11.40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291E1133"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w:t>
      </w:r>
    </w:p>
    <w:p w14:paraId="19A892E3" w14:textId="21E0058C" w:rsidR="002925BB" w:rsidRPr="00170D5E" w:rsidRDefault="002925BB" w:rsidP="002925BB">
      <w:pPr>
        <w:pStyle w:val="BodyText"/>
        <w:rPr>
          <w:rFonts w:cs="Times New Roman"/>
        </w:rPr>
      </w:pPr>
      <w:r w:rsidRPr="00170D5E">
        <w:rPr>
          <w:rFonts w:cs="Times New Roman"/>
        </w:rPr>
        <w:t xml:space="preserve">        Izsolāmā objekta pārdošanas sākumcena – </w:t>
      </w:r>
      <w:r w:rsidR="0010609B">
        <w:rPr>
          <w:rFonts w:cs="Times New Roman"/>
          <w:b/>
          <w:bCs/>
          <w:color w:val="000000" w:themeColor="text1"/>
        </w:rPr>
        <w:t>2 400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4F48FD">
        <w:rPr>
          <w:rFonts w:cs="Times New Roman"/>
          <w:color w:val="000000" w:themeColor="text1"/>
        </w:rPr>
        <w:t xml:space="preserve">divi </w:t>
      </w:r>
      <w:r w:rsidR="002D0342">
        <w:rPr>
          <w:rFonts w:cs="Times New Roman"/>
          <w:color w:val="000000" w:themeColor="text1"/>
        </w:rPr>
        <w:t>tūkstoši</w:t>
      </w:r>
      <w:r w:rsidR="00B85F81">
        <w:rPr>
          <w:rFonts w:cs="Times New Roman"/>
          <w:color w:val="000000" w:themeColor="text1"/>
        </w:rPr>
        <w:t xml:space="preserve"> </w:t>
      </w:r>
      <w:r w:rsidR="0010609B">
        <w:rPr>
          <w:rFonts w:cs="Times New Roman"/>
          <w:color w:val="000000" w:themeColor="text1"/>
        </w:rPr>
        <w:t>četri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FBD1A45"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color w:val="000000" w:themeColor="text1"/>
        </w:rPr>
        <w:t>2</w:t>
      </w:r>
      <w:r w:rsidR="0010609B">
        <w:rPr>
          <w:rFonts w:cs="Times New Roman"/>
          <w:b/>
          <w:bCs/>
          <w:color w:val="000000" w:themeColor="text1"/>
        </w:rPr>
        <w:t>4</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4F48FD">
        <w:rPr>
          <w:rFonts w:cs="Times New Roman"/>
          <w:color w:val="000000" w:themeColor="text1"/>
        </w:rPr>
        <w:t>divi</w:t>
      </w:r>
      <w:r w:rsidR="00B85F81">
        <w:rPr>
          <w:rFonts w:cs="Times New Roman"/>
          <w:color w:val="000000" w:themeColor="text1"/>
        </w:rPr>
        <w:t xml:space="preserve"> </w:t>
      </w:r>
      <w:r w:rsidR="0021266C">
        <w:rPr>
          <w:rFonts w:cs="Times New Roman"/>
          <w:color w:val="000000" w:themeColor="text1"/>
        </w:rPr>
        <w:t>simti</w:t>
      </w:r>
      <w:r w:rsidR="00B85F81">
        <w:rPr>
          <w:rFonts w:cs="Times New Roman"/>
          <w:color w:val="000000" w:themeColor="text1"/>
        </w:rPr>
        <w:t xml:space="preserve"> </w:t>
      </w:r>
      <w:r w:rsidR="0010609B">
        <w:rPr>
          <w:rFonts w:cs="Times New Roman"/>
          <w:color w:val="000000" w:themeColor="text1"/>
        </w:rPr>
        <w:t>četr</w:t>
      </w:r>
      <w:r w:rsidR="00B85F81">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7FCA20D"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10609B">
        <w:rPr>
          <w:rFonts w:cs="Times New Roman"/>
          <w:b/>
          <w:bCs/>
        </w:rPr>
        <w:t>10.jūnijam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1BC2D56C"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10609B">
        <w:rPr>
          <w:rFonts w:cs="Times New Roman"/>
          <w:b/>
          <w:bCs/>
        </w:rPr>
        <w:t>10.jūnijam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w:t>
      </w:r>
      <w:proofErr w:type="spellStart"/>
      <w:r>
        <w:rPr>
          <w:rFonts w:cs="Times New Roman"/>
        </w:rPr>
        <w:t>J.Krievs</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906449D"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10609B">
        <w:rPr>
          <w:rFonts w:cs="Times New Roman"/>
          <w:b/>
          <w:bCs/>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18ECB8FA"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rPr>
        <w:t>2</w:t>
      </w:r>
      <w:r w:rsidR="0010609B">
        <w:rPr>
          <w:rFonts w:cs="Times New Roman"/>
          <w:b/>
          <w:bCs/>
        </w:rPr>
        <w:t>4</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4F48FD">
        <w:rPr>
          <w:rFonts w:cs="Times New Roman"/>
          <w:color w:val="000000" w:themeColor="text1"/>
        </w:rPr>
        <w:t>divi</w:t>
      </w:r>
      <w:r w:rsidR="00046067">
        <w:rPr>
          <w:rFonts w:cs="Times New Roman"/>
          <w:color w:val="000000" w:themeColor="text1"/>
        </w:rPr>
        <w:t xml:space="preserve"> simti</w:t>
      </w:r>
      <w:r w:rsidR="00B85F81">
        <w:rPr>
          <w:rFonts w:cs="Times New Roman"/>
          <w:color w:val="000000" w:themeColor="text1"/>
        </w:rPr>
        <w:t xml:space="preserve"> </w:t>
      </w:r>
      <w:r w:rsidR="0010609B">
        <w:rPr>
          <w:rFonts w:cs="Times New Roman"/>
          <w:color w:val="000000" w:themeColor="text1"/>
        </w:rPr>
        <w:t>četr</w:t>
      </w:r>
      <w:r w:rsidR="00B85F81">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 </w:t>
      </w:r>
    </w:p>
    <w:p w14:paraId="6979C767" w14:textId="53C611C2"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10609B">
        <w:rPr>
          <w:rFonts w:cs="Times New Roman"/>
          <w:b/>
          <w:bCs/>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w:t>
      </w:r>
      <w:r w:rsidR="0010609B">
        <w:rPr>
          <w:rFonts w:cs="Times New Roman"/>
        </w:rPr>
        <w:t>____</w:t>
      </w:r>
      <w:r w:rsidR="00F25A26">
        <w:rPr>
          <w:rFonts w:cs="Times New Roman"/>
        </w:rPr>
        <w:t>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w:t>
      </w:r>
      <w:r w:rsidR="0010609B">
        <w:rPr>
          <w:rFonts w:cs="Times New Roman"/>
        </w:rPr>
        <w:t xml:space="preserve"> </w:t>
      </w:r>
      <w:r w:rsidR="005768D7">
        <w:rPr>
          <w:rFonts w:cs="Times New Roman"/>
        </w:rPr>
        <w:t>__</w:t>
      </w:r>
      <w:r w:rsidRPr="00170D5E">
        <w:rPr>
          <w:rFonts w:cs="Times New Roman"/>
        </w:rPr>
        <w:t>_______________________________</w:t>
      </w:r>
      <w:r w:rsidR="004F48FD">
        <w:rPr>
          <w:rFonts w:cs="Times New Roman"/>
        </w:rPr>
        <w:t>__________________________________________</w:t>
      </w:r>
      <w:r w:rsidRPr="00170D5E">
        <w:rPr>
          <w:rFonts w:cs="Times New Roman"/>
        </w:rPr>
        <w:t>_</w:t>
      </w:r>
      <w:r w:rsidR="0010609B">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Pr="00373084">
        <w:t>Okmaņa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1EF5F5D3"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4F48FD">
        <w:rPr>
          <w:rFonts w:cs="Times New Roman"/>
        </w:rPr>
        <w:t>8</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,,Vaski”- 4,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83953B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BBCA864"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100000070111 4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7"/>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102943"/>
    <w:rsid w:val="0010609B"/>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5773"/>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A75CB"/>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0423D"/>
    <w:rsid w:val="00A33A1B"/>
    <w:rsid w:val="00A3630E"/>
    <w:rsid w:val="00A43CBE"/>
    <w:rsid w:val="00A45B75"/>
    <w:rsid w:val="00A460CD"/>
    <w:rsid w:val="00A46368"/>
    <w:rsid w:val="00A563AC"/>
    <w:rsid w:val="00A57640"/>
    <w:rsid w:val="00A655C6"/>
    <w:rsid w:val="00A74296"/>
    <w:rsid w:val="00A81BF3"/>
    <w:rsid w:val="00A8212A"/>
    <w:rsid w:val="00A85B16"/>
    <w:rsid w:val="00A9723B"/>
    <w:rsid w:val="00AD0EDB"/>
    <w:rsid w:val="00AE28BA"/>
    <w:rsid w:val="00AE6832"/>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830B0"/>
    <w:rsid w:val="00F97873"/>
    <w:rsid w:val="00FA4F1C"/>
    <w:rsid w:val="00FA5076"/>
    <w:rsid w:val="00FB0E7B"/>
    <w:rsid w:val="00FE17C6"/>
    <w:rsid w:val="00FE58A8"/>
    <w:rsid w:val="00FF1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17776</Words>
  <Characters>10133</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2025-04-23T13:39:00Z</dcterms:created>
  <dcterms:modified xsi:type="dcterms:W3CDTF">2025-04-23T13:53:00Z</dcterms:modified>
</cp:coreProperties>
</file>