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F04DB" w:rsidRPr="00DF04DB" w:rsidP="00DF04DB" w14:paraId="2A303EC8" w14:textId="77777777">
      <w:pPr>
        <w:jc w:val="right"/>
        <w:rPr>
          <w:rFonts w:ascii="Times New Roman" w:hAnsi="Times New Roman"/>
          <w:b/>
          <w:color w:val="000000"/>
          <w:sz w:val="24"/>
          <w:szCs w:val="24"/>
        </w:rPr>
      </w:pPr>
      <w:r w:rsidRPr="00DF04DB">
        <w:rPr>
          <w:rFonts w:ascii="Times New Roman" w:hAnsi="Times New Roman"/>
          <w:b/>
          <w:color w:val="000000"/>
          <w:sz w:val="24"/>
          <w:szCs w:val="24"/>
        </w:rPr>
        <w:t>2.pielikums</w:t>
      </w:r>
    </w:p>
    <w:p w:rsidR="00DF04DB" w:rsidRPr="00DF04DB" w:rsidP="00DF04DB" w14:paraId="17E5440B" w14:textId="77777777">
      <w:pPr>
        <w:spacing w:after="0" w:line="240" w:lineRule="auto"/>
        <w:jc w:val="center"/>
        <w:rPr>
          <w:rFonts w:ascii="Times New Roman" w:hAnsi="Times New Roman"/>
          <w:b/>
          <w:color w:val="000000"/>
          <w:sz w:val="26"/>
          <w:szCs w:val="26"/>
        </w:rPr>
      </w:pPr>
      <w:r w:rsidRPr="00DF04DB">
        <w:rPr>
          <w:rFonts w:ascii="Times New Roman" w:hAnsi="Times New Roman"/>
          <w:b/>
          <w:color w:val="000000"/>
          <w:sz w:val="26"/>
          <w:szCs w:val="26"/>
        </w:rPr>
        <w:t>FINANŠU PIEDĀVĀJUMS</w:t>
      </w:r>
    </w:p>
    <w:p w:rsidR="00DF04DB" w:rsidRPr="00DF04DB" w:rsidP="00DF04DB" w14:paraId="5170151D" w14:textId="77777777">
      <w:pPr>
        <w:spacing w:after="0" w:line="240" w:lineRule="auto"/>
        <w:jc w:val="center"/>
        <w:rPr>
          <w:rFonts w:ascii="Times New Roman" w:hAnsi="Times New Roman"/>
          <w:b/>
          <w:sz w:val="26"/>
          <w:szCs w:val="26"/>
        </w:rPr>
      </w:pPr>
      <w:r w:rsidRPr="00DF04DB">
        <w:rPr>
          <w:rFonts w:ascii="Times New Roman" w:hAnsi="Times New Roman"/>
          <w:b/>
          <w:sz w:val="26"/>
          <w:szCs w:val="26"/>
        </w:rPr>
        <w:t xml:space="preserve">Sašķidrinātās naftas gāzes piegāde apkurei Ērgļos </w:t>
      </w:r>
    </w:p>
    <w:p w:rsidR="00DF04DB" w:rsidRPr="00DF04DB" w:rsidP="00DF04DB" w14:paraId="53E6DF70" w14:textId="77777777">
      <w:pPr>
        <w:spacing w:after="0" w:line="240" w:lineRule="auto"/>
        <w:jc w:val="center"/>
        <w:rPr>
          <w:rFonts w:ascii="Times New Roman" w:hAnsi="Times New Roman"/>
          <w:b/>
          <w:bCs/>
          <w:sz w:val="26"/>
          <w:szCs w:val="26"/>
        </w:rPr>
      </w:pPr>
      <w:r w:rsidRPr="00DF04DB">
        <w:rPr>
          <w:rFonts w:ascii="Times New Roman" w:eastAsia="Times New Roman" w:hAnsi="Times New Roman"/>
          <w:b/>
          <w:sz w:val="26"/>
          <w:szCs w:val="26"/>
        </w:rPr>
        <w:t xml:space="preserve">Identifikācijas numurs </w:t>
      </w:r>
      <w:r w:rsidRPr="00DF04DB">
        <w:rPr>
          <w:rFonts w:ascii="Times New Roman" w:hAnsi="Times New Roman"/>
          <w:b/>
          <w:bCs/>
          <w:sz w:val="26"/>
          <w:szCs w:val="26"/>
        </w:rPr>
        <w:t>BAP/2-1/2025/65</w:t>
      </w:r>
    </w:p>
    <w:tbl>
      <w:tblPr>
        <w:tblW w:w="9351" w:type="dxa"/>
        <w:tblInd w:w="-147" w:type="dxa"/>
        <w:tblLook w:val="0000"/>
      </w:tblPr>
      <w:tblGrid>
        <w:gridCol w:w="2189"/>
        <w:gridCol w:w="1225"/>
        <w:gridCol w:w="5937"/>
      </w:tblGrid>
      <w:tr w14:paraId="0F06FBA6" w14:textId="77777777" w:rsidTr="00A432E9">
        <w:tblPrEx>
          <w:tblW w:w="9351" w:type="dxa"/>
          <w:tblInd w:w="-147" w:type="dxa"/>
          <w:tblLook w:val="0000"/>
        </w:tblPrEx>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rsidR="00DF04DB" w:rsidRPr="00DF04DB" w:rsidP="00DF04DB" w14:paraId="5B16A6B9" w14:textId="77777777">
            <w:pPr>
              <w:outlineLvl w:val="6"/>
              <w:rPr>
                <w:rFonts w:ascii="Times New Roman" w:hAnsi="Times New Roman"/>
                <w:b/>
                <w:sz w:val="24"/>
              </w:rPr>
            </w:pPr>
            <w:r w:rsidRPr="00DF04DB">
              <w:rPr>
                <w:rFonts w:ascii="Times New Roman" w:hAnsi="Times New Roman"/>
                <w:b/>
                <w:sz w:val="24"/>
              </w:rPr>
              <w:t>Informācija par pretendentu</w:t>
            </w:r>
          </w:p>
        </w:tc>
      </w:tr>
      <w:tr w14:paraId="20D838D2" w14:textId="77777777" w:rsidTr="00A432E9">
        <w:tblPrEx>
          <w:tblW w:w="9351" w:type="dxa"/>
          <w:tblInd w:w="-147" w:type="dxa"/>
          <w:tblLook w:val="0000"/>
        </w:tblPrEx>
        <w:trPr>
          <w:cantSplit/>
        </w:trPr>
        <w:tc>
          <w:tcPr>
            <w:tcW w:w="3414" w:type="dxa"/>
            <w:gridSpan w:val="2"/>
            <w:tcBorders>
              <w:top w:val="single" w:sz="4" w:space="0" w:color="auto"/>
            </w:tcBorders>
          </w:tcPr>
          <w:p w:rsidR="00DF04DB" w:rsidRPr="00DF04DB" w:rsidP="00DF04DB" w14:paraId="19F0CD20" w14:textId="77777777">
            <w:pPr>
              <w:widowControl w:val="0"/>
              <w:adjustRightInd w:val="0"/>
              <w:spacing w:after="0" w:line="240" w:lineRule="auto"/>
              <w:textAlignment w:val="baseline"/>
              <w:rPr>
                <w:rFonts w:ascii="Times New Roman" w:eastAsia="Times New Roman" w:hAnsi="Times New Roman"/>
                <w:sz w:val="24"/>
                <w:szCs w:val="24"/>
              </w:rPr>
            </w:pPr>
            <w:r w:rsidRPr="00DF04DB">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rsidR="00DF04DB" w:rsidRPr="00DF04DB" w:rsidP="00DF04DB" w14:paraId="45F9F27B" w14:textId="77777777">
            <w:pPr>
              <w:spacing w:after="0" w:line="240" w:lineRule="auto"/>
              <w:rPr>
                <w:rFonts w:ascii="Times New Roman" w:hAnsi="Times New Roman"/>
                <w:sz w:val="24"/>
                <w:szCs w:val="24"/>
              </w:rPr>
            </w:pPr>
          </w:p>
        </w:tc>
      </w:tr>
      <w:tr w14:paraId="635B393F" w14:textId="77777777" w:rsidTr="00A432E9">
        <w:tblPrEx>
          <w:tblW w:w="9351" w:type="dxa"/>
          <w:tblInd w:w="-147" w:type="dxa"/>
          <w:tblLook w:val="0000"/>
        </w:tblPrEx>
        <w:trPr>
          <w:cantSplit/>
        </w:trPr>
        <w:tc>
          <w:tcPr>
            <w:tcW w:w="3414" w:type="dxa"/>
            <w:gridSpan w:val="2"/>
          </w:tcPr>
          <w:p w:rsidR="00DF04DB" w:rsidRPr="00DF04DB" w:rsidP="00DF04DB" w14:paraId="2208857E" w14:textId="77777777">
            <w:pPr>
              <w:widowControl w:val="0"/>
              <w:adjustRightInd w:val="0"/>
              <w:spacing w:after="0" w:line="240" w:lineRule="auto"/>
              <w:ind w:right="-52"/>
              <w:textAlignment w:val="baseline"/>
              <w:rPr>
                <w:rFonts w:ascii="Times New Roman" w:eastAsia="Times New Roman" w:hAnsi="Times New Roman"/>
                <w:sz w:val="24"/>
                <w:szCs w:val="24"/>
              </w:rPr>
            </w:pPr>
            <w:r w:rsidRPr="00DF04DB">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rsidR="00DF04DB" w:rsidRPr="00DF04DB" w:rsidP="00DF04DB" w14:paraId="3BF5E4E7" w14:textId="77777777">
            <w:pPr>
              <w:spacing w:after="0" w:line="240" w:lineRule="auto"/>
              <w:rPr>
                <w:rFonts w:ascii="Times New Roman" w:hAnsi="Times New Roman"/>
                <w:sz w:val="24"/>
                <w:szCs w:val="24"/>
              </w:rPr>
            </w:pPr>
          </w:p>
        </w:tc>
      </w:tr>
      <w:tr w14:paraId="7469E44E" w14:textId="77777777" w:rsidTr="00A432E9">
        <w:tblPrEx>
          <w:tblW w:w="9351" w:type="dxa"/>
          <w:tblInd w:w="-147" w:type="dxa"/>
          <w:tblLook w:val="0000"/>
        </w:tblPrEx>
        <w:trPr>
          <w:cantSplit/>
        </w:trPr>
        <w:tc>
          <w:tcPr>
            <w:tcW w:w="3414" w:type="dxa"/>
            <w:gridSpan w:val="2"/>
          </w:tcPr>
          <w:p w:rsidR="00DF04DB" w:rsidRPr="00DF04DB" w:rsidP="00DF04DB" w14:paraId="3DB02318" w14:textId="77777777">
            <w:pPr>
              <w:spacing w:after="0" w:line="240" w:lineRule="auto"/>
              <w:rPr>
                <w:rFonts w:ascii="Times New Roman" w:hAnsi="Times New Roman"/>
                <w:sz w:val="24"/>
                <w:szCs w:val="24"/>
              </w:rPr>
            </w:pPr>
            <w:r w:rsidRPr="00DF04DB">
              <w:rPr>
                <w:rFonts w:ascii="Times New Roman" w:hAnsi="Times New Roman"/>
                <w:sz w:val="24"/>
                <w:szCs w:val="24"/>
              </w:rPr>
              <w:t>Juridiskā adrese:</w:t>
            </w:r>
          </w:p>
        </w:tc>
        <w:tc>
          <w:tcPr>
            <w:tcW w:w="5937" w:type="dxa"/>
            <w:tcBorders>
              <w:bottom w:val="single" w:sz="4" w:space="0" w:color="auto"/>
            </w:tcBorders>
          </w:tcPr>
          <w:p w:rsidR="00DF04DB" w:rsidRPr="00DF04DB" w:rsidP="00DF04DB" w14:paraId="293F1734" w14:textId="77777777">
            <w:pPr>
              <w:spacing w:after="0" w:line="240" w:lineRule="auto"/>
              <w:rPr>
                <w:rFonts w:ascii="Times New Roman" w:hAnsi="Times New Roman"/>
                <w:sz w:val="24"/>
                <w:szCs w:val="24"/>
              </w:rPr>
            </w:pPr>
          </w:p>
        </w:tc>
      </w:tr>
      <w:tr w14:paraId="400FA80A" w14:textId="77777777" w:rsidTr="00A432E9">
        <w:tblPrEx>
          <w:tblW w:w="9351" w:type="dxa"/>
          <w:tblInd w:w="-147" w:type="dxa"/>
          <w:tblLook w:val="0000"/>
        </w:tblPrEx>
        <w:trPr>
          <w:cantSplit/>
        </w:trPr>
        <w:tc>
          <w:tcPr>
            <w:tcW w:w="3414" w:type="dxa"/>
            <w:gridSpan w:val="2"/>
          </w:tcPr>
          <w:p w:rsidR="00DF04DB" w:rsidRPr="00DF04DB" w:rsidP="00DF04DB" w14:paraId="1D6869F1" w14:textId="77777777">
            <w:pPr>
              <w:spacing w:after="0" w:line="240" w:lineRule="auto"/>
              <w:rPr>
                <w:rFonts w:ascii="Times New Roman" w:hAnsi="Times New Roman"/>
                <w:sz w:val="24"/>
                <w:szCs w:val="24"/>
              </w:rPr>
            </w:pPr>
            <w:r w:rsidRPr="00DF04DB">
              <w:rPr>
                <w:rFonts w:ascii="Times New Roman" w:hAnsi="Times New Roman"/>
                <w:sz w:val="24"/>
                <w:szCs w:val="24"/>
              </w:rPr>
              <w:t>Pasta adrese:</w:t>
            </w:r>
          </w:p>
        </w:tc>
        <w:tc>
          <w:tcPr>
            <w:tcW w:w="5937" w:type="dxa"/>
            <w:tcBorders>
              <w:top w:val="single" w:sz="4" w:space="0" w:color="auto"/>
              <w:bottom w:val="single" w:sz="4" w:space="0" w:color="auto"/>
            </w:tcBorders>
          </w:tcPr>
          <w:p w:rsidR="00DF04DB" w:rsidRPr="00DF04DB" w:rsidP="00DF04DB" w14:paraId="49B501B7" w14:textId="77777777">
            <w:pPr>
              <w:spacing w:after="0" w:line="240" w:lineRule="auto"/>
              <w:rPr>
                <w:rFonts w:ascii="Times New Roman" w:hAnsi="Times New Roman"/>
                <w:sz w:val="24"/>
                <w:szCs w:val="24"/>
              </w:rPr>
            </w:pPr>
          </w:p>
        </w:tc>
      </w:tr>
      <w:tr w14:paraId="127138FB" w14:textId="77777777" w:rsidTr="00A432E9">
        <w:tblPrEx>
          <w:tblW w:w="9351" w:type="dxa"/>
          <w:tblInd w:w="-147" w:type="dxa"/>
          <w:tblLook w:val="0000"/>
        </w:tblPrEx>
        <w:trPr>
          <w:cantSplit/>
        </w:trPr>
        <w:tc>
          <w:tcPr>
            <w:tcW w:w="3414" w:type="dxa"/>
            <w:gridSpan w:val="2"/>
          </w:tcPr>
          <w:p w:rsidR="00DF04DB" w:rsidRPr="00DF04DB" w:rsidP="00DF04DB" w14:paraId="33AE6A50" w14:textId="77777777">
            <w:pPr>
              <w:spacing w:after="0" w:line="240" w:lineRule="auto"/>
              <w:rPr>
                <w:rFonts w:ascii="Times New Roman" w:hAnsi="Times New Roman"/>
                <w:sz w:val="24"/>
                <w:szCs w:val="24"/>
              </w:rPr>
            </w:pPr>
            <w:r w:rsidRPr="00DF04DB">
              <w:rPr>
                <w:rFonts w:ascii="Times New Roman" w:hAnsi="Times New Roman"/>
                <w:sz w:val="24"/>
                <w:szCs w:val="24"/>
              </w:rPr>
              <w:t>Tālrunis:</w:t>
            </w:r>
          </w:p>
        </w:tc>
        <w:tc>
          <w:tcPr>
            <w:tcW w:w="5937" w:type="dxa"/>
            <w:tcBorders>
              <w:top w:val="single" w:sz="4" w:space="0" w:color="auto"/>
              <w:bottom w:val="single" w:sz="4" w:space="0" w:color="auto"/>
            </w:tcBorders>
          </w:tcPr>
          <w:p w:rsidR="00DF04DB" w:rsidRPr="00DF04DB" w:rsidP="00DF04DB" w14:paraId="4531615E" w14:textId="77777777">
            <w:pPr>
              <w:spacing w:after="0" w:line="240" w:lineRule="auto"/>
              <w:rPr>
                <w:rFonts w:ascii="Times New Roman" w:hAnsi="Times New Roman"/>
                <w:sz w:val="24"/>
                <w:szCs w:val="24"/>
              </w:rPr>
            </w:pPr>
          </w:p>
        </w:tc>
      </w:tr>
      <w:tr w14:paraId="1DC1E4FD" w14:textId="77777777" w:rsidTr="00A432E9">
        <w:tblPrEx>
          <w:tblW w:w="9351" w:type="dxa"/>
          <w:tblInd w:w="-147" w:type="dxa"/>
          <w:tblLook w:val="0000"/>
        </w:tblPrEx>
        <w:trPr>
          <w:cantSplit/>
        </w:trPr>
        <w:tc>
          <w:tcPr>
            <w:tcW w:w="3414" w:type="dxa"/>
            <w:gridSpan w:val="2"/>
          </w:tcPr>
          <w:p w:rsidR="00DF04DB" w:rsidRPr="00DF04DB" w:rsidP="00DF04DB" w14:paraId="1CA3A2E4" w14:textId="77777777">
            <w:pPr>
              <w:spacing w:after="0" w:line="240" w:lineRule="auto"/>
              <w:rPr>
                <w:rFonts w:ascii="Times New Roman" w:hAnsi="Times New Roman"/>
                <w:sz w:val="24"/>
                <w:szCs w:val="24"/>
              </w:rPr>
            </w:pPr>
            <w:r w:rsidRPr="00DF04DB">
              <w:rPr>
                <w:rFonts w:ascii="Times New Roman" w:hAnsi="Times New Roman"/>
                <w:sz w:val="24"/>
                <w:szCs w:val="24"/>
              </w:rPr>
              <w:t>E-pasta adrese:</w:t>
            </w:r>
          </w:p>
        </w:tc>
        <w:tc>
          <w:tcPr>
            <w:tcW w:w="5937" w:type="dxa"/>
            <w:tcBorders>
              <w:bottom w:val="single" w:sz="4" w:space="0" w:color="auto"/>
            </w:tcBorders>
          </w:tcPr>
          <w:p w:rsidR="00DF04DB" w:rsidRPr="00DF04DB" w:rsidP="00DF04DB" w14:paraId="4CACD706" w14:textId="77777777">
            <w:pPr>
              <w:spacing w:after="0" w:line="240" w:lineRule="auto"/>
              <w:rPr>
                <w:rFonts w:ascii="Times New Roman" w:hAnsi="Times New Roman"/>
                <w:sz w:val="24"/>
                <w:szCs w:val="24"/>
              </w:rPr>
            </w:pPr>
          </w:p>
        </w:tc>
      </w:tr>
      <w:tr w14:paraId="376704DB" w14:textId="77777777" w:rsidTr="00A432E9">
        <w:tblPrEx>
          <w:tblW w:w="9351" w:type="dxa"/>
          <w:tblInd w:w="-147" w:type="dxa"/>
          <w:tblLook w:val="0000"/>
        </w:tblPrEx>
        <w:trPr>
          <w:cantSplit/>
        </w:trPr>
        <w:tc>
          <w:tcPr>
            <w:tcW w:w="3414" w:type="dxa"/>
            <w:gridSpan w:val="2"/>
          </w:tcPr>
          <w:p w:rsidR="00DF04DB" w:rsidRPr="00DF04DB" w:rsidP="00DF04DB" w14:paraId="327A6F4A" w14:textId="77777777">
            <w:pPr>
              <w:spacing w:after="0" w:line="240" w:lineRule="auto"/>
              <w:rPr>
                <w:rFonts w:ascii="Times New Roman" w:hAnsi="Times New Roman"/>
                <w:sz w:val="24"/>
                <w:szCs w:val="24"/>
              </w:rPr>
            </w:pPr>
            <w:r w:rsidRPr="00DF04DB">
              <w:rPr>
                <w:rFonts w:ascii="Times New Roman" w:hAnsi="Times New Roman"/>
                <w:sz w:val="24"/>
                <w:szCs w:val="24"/>
              </w:rPr>
              <w:t xml:space="preserve">Vispārējā interneta adrese (ja attiecināms): </w:t>
            </w:r>
          </w:p>
        </w:tc>
        <w:tc>
          <w:tcPr>
            <w:tcW w:w="5937" w:type="dxa"/>
            <w:tcBorders>
              <w:bottom w:val="single" w:sz="4" w:space="0" w:color="auto"/>
            </w:tcBorders>
          </w:tcPr>
          <w:p w:rsidR="00DF04DB" w:rsidRPr="00DF04DB" w:rsidP="00DF04DB" w14:paraId="1E0C3843" w14:textId="77777777">
            <w:pPr>
              <w:spacing w:after="0" w:line="240" w:lineRule="auto"/>
              <w:rPr>
                <w:rFonts w:ascii="Times New Roman" w:hAnsi="Times New Roman"/>
                <w:sz w:val="24"/>
                <w:szCs w:val="24"/>
              </w:rPr>
            </w:pPr>
          </w:p>
          <w:p w:rsidR="00DF04DB" w:rsidRPr="00DF04DB" w:rsidP="00DF04DB" w14:paraId="55D715AA" w14:textId="77777777">
            <w:pPr>
              <w:spacing w:after="0" w:line="240" w:lineRule="auto"/>
              <w:rPr>
                <w:rFonts w:ascii="Times New Roman" w:hAnsi="Times New Roman"/>
                <w:sz w:val="24"/>
                <w:szCs w:val="24"/>
              </w:rPr>
            </w:pPr>
          </w:p>
        </w:tc>
      </w:tr>
      <w:tr w14:paraId="4D165047" w14:textId="77777777" w:rsidTr="00A432E9">
        <w:tblPrEx>
          <w:tblW w:w="9351" w:type="dxa"/>
          <w:tblInd w:w="-147" w:type="dxa"/>
          <w:tblLook w:val="0000"/>
        </w:tblPrEx>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rsidR="00DF04DB" w:rsidRPr="00DF04DB" w:rsidP="00DF04DB" w14:paraId="06322732" w14:textId="77777777">
            <w:pPr>
              <w:spacing w:after="0" w:line="240" w:lineRule="auto"/>
              <w:outlineLvl w:val="6"/>
              <w:rPr>
                <w:rFonts w:ascii="Times New Roman" w:eastAsia="Times New Roman" w:hAnsi="Times New Roman"/>
                <w:b/>
                <w:sz w:val="24"/>
              </w:rPr>
            </w:pPr>
            <w:r w:rsidRPr="00DF04DB">
              <w:rPr>
                <w:rFonts w:ascii="Times New Roman" w:eastAsia="Times New Roman" w:hAnsi="Times New Roman"/>
                <w:b/>
                <w:sz w:val="24"/>
              </w:rPr>
              <w:t>Informācija par pretendenta kontaktpersonu/ līguma izpildes atbildīgo personu</w:t>
            </w:r>
          </w:p>
        </w:tc>
      </w:tr>
      <w:tr w14:paraId="3AF97959" w14:textId="77777777" w:rsidTr="00A432E9">
        <w:tblPrEx>
          <w:tblW w:w="9351" w:type="dxa"/>
          <w:tblInd w:w="-147" w:type="dxa"/>
          <w:tblLook w:val="0000"/>
        </w:tblPrEx>
        <w:trPr>
          <w:cantSplit/>
        </w:trPr>
        <w:tc>
          <w:tcPr>
            <w:tcW w:w="2189" w:type="dxa"/>
          </w:tcPr>
          <w:p w:rsidR="00DF04DB" w:rsidRPr="00DF04DB" w:rsidP="00DF04DB" w14:paraId="6C128696" w14:textId="77777777">
            <w:pPr>
              <w:spacing w:after="0" w:line="240" w:lineRule="auto"/>
              <w:rPr>
                <w:rFonts w:ascii="Times New Roman" w:hAnsi="Times New Roman"/>
                <w:sz w:val="24"/>
                <w:szCs w:val="24"/>
              </w:rPr>
            </w:pPr>
            <w:r w:rsidRPr="00DF04DB">
              <w:rPr>
                <w:rFonts w:ascii="Times New Roman" w:hAnsi="Times New Roman"/>
                <w:sz w:val="24"/>
                <w:szCs w:val="24"/>
              </w:rPr>
              <w:t>Vārds, uzvārds:</w:t>
            </w:r>
          </w:p>
        </w:tc>
        <w:tc>
          <w:tcPr>
            <w:tcW w:w="7162" w:type="dxa"/>
            <w:gridSpan w:val="2"/>
            <w:tcBorders>
              <w:bottom w:val="single" w:sz="4" w:space="0" w:color="auto"/>
            </w:tcBorders>
          </w:tcPr>
          <w:p w:rsidR="00DF04DB" w:rsidRPr="00DF04DB" w:rsidP="00DF04DB" w14:paraId="1DC21DAF" w14:textId="77777777">
            <w:pPr>
              <w:spacing w:after="0" w:line="240" w:lineRule="auto"/>
              <w:rPr>
                <w:rFonts w:ascii="Times New Roman" w:hAnsi="Times New Roman"/>
                <w:sz w:val="24"/>
                <w:szCs w:val="24"/>
              </w:rPr>
            </w:pPr>
          </w:p>
        </w:tc>
      </w:tr>
      <w:tr w14:paraId="5B1B7AC6" w14:textId="77777777" w:rsidTr="00A432E9">
        <w:tblPrEx>
          <w:tblW w:w="9351" w:type="dxa"/>
          <w:tblInd w:w="-147" w:type="dxa"/>
          <w:tblLook w:val="0000"/>
        </w:tblPrEx>
        <w:trPr>
          <w:cantSplit/>
        </w:trPr>
        <w:tc>
          <w:tcPr>
            <w:tcW w:w="2189" w:type="dxa"/>
          </w:tcPr>
          <w:p w:rsidR="00DF04DB" w:rsidRPr="00DF04DB" w:rsidP="00DF04DB" w14:paraId="0FB11CB5" w14:textId="77777777">
            <w:pPr>
              <w:spacing w:after="0" w:line="240" w:lineRule="auto"/>
              <w:rPr>
                <w:rFonts w:ascii="Times New Roman" w:hAnsi="Times New Roman"/>
                <w:sz w:val="24"/>
                <w:szCs w:val="24"/>
              </w:rPr>
            </w:pPr>
            <w:r w:rsidRPr="00DF04DB">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rsidR="00DF04DB" w:rsidRPr="00DF04DB" w:rsidP="00DF04DB" w14:paraId="18A70946" w14:textId="77777777">
            <w:pPr>
              <w:widowControl w:val="0"/>
              <w:adjustRightInd w:val="0"/>
              <w:spacing w:after="0" w:line="240" w:lineRule="auto"/>
              <w:jc w:val="both"/>
              <w:textAlignment w:val="baseline"/>
              <w:rPr>
                <w:rFonts w:ascii="Times New Roman" w:eastAsia="Times New Roman" w:hAnsi="Times New Roman"/>
                <w:sz w:val="24"/>
                <w:szCs w:val="24"/>
              </w:rPr>
            </w:pPr>
          </w:p>
        </w:tc>
      </w:tr>
      <w:tr w14:paraId="766C264F" w14:textId="77777777" w:rsidTr="00A432E9">
        <w:tblPrEx>
          <w:tblW w:w="9351" w:type="dxa"/>
          <w:tblInd w:w="-147" w:type="dxa"/>
          <w:tblLook w:val="0000"/>
        </w:tblPrEx>
        <w:trPr>
          <w:cantSplit/>
        </w:trPr>
        <w:tc>
          <w:tcPr>
            <w:tcW w:w="2189" w:type="dxa"/>
          </w:tcPr>
          <w:p w:rsidR="00DF04DB" w:rsidRPr="00DF04DB" w:rsidP="00DF04DB" w14:paraId="4841EE8C" w14:textId="77777777">
            <w:pPr>
              <w:spacing w:after="0" w:line="240" w:lineRule="auto"/>
              <w:rPr>
                <w:rFonts w:ascii="Times New Roman" w:hAnsi="Times New Roman"/>
                <w:sz w:val="24"/>
                <w:szCs w:val="24"/>
              </w:rPr>
            </w:pPr>
            <w:r w:rsidRPr="00DF04DB">
              <w:rPr>
                <w:rFonts w:ascii="Times New Roman" w:hAnsi="Times New Roman"/>
                <w:sz w:val="24"/>
                <w:szCs w:val="24"/>
              </w:rPr>
              <w:t>Tālrunis:</w:t>
            </w:r>
          </w:p>
        </w:tc>
        <w:tc>
          <w:tcPr>
            <w:tcW w:w="7162" w:type="dxa"/>
            <w:gridSpan w:val="2"/>
            <w:tcBorders>
              <w:top w:val="single" w:sz="4" w:space="0" w:color="auto"/>
              <w:bottom w:val="single" w:sz="4" w:space="0" w:color="auto"/>
            </w:tcBorders>
          </w:tcPr>
          <w:p w:rsidR="00DF04DB" w:rsidRPr="00DF04DB" w:rsidP="00DF04DB" w14:paraId="24694AED" w14:textId="77777777">
            <w:pPr>
              <w:spacing w:after="0" w:line="240" w:lineRule="auto"/>
              <w:rPr>
                <w:rFonts w:ascii="Times New Roman" w:hAnsi="Times New Roman"/>
                <w:sz w:val="24"/>
                <w:szCs w:val="24"/>
              </w:rPr>
            </w:pPr>
          </w:p>
        </w:tc>
      </w:tr>
      <w:tr w14:paraId="431AD5F1" w14:textId="77777777" w:rsidTr="00A432E9">
        <w:tblPrEx>
          <w:tblW w:w="9351" w:type="dxa"/>
          <w:tblInd w:w="-147" w:type="dxa"/>
          <w:tblLook w:val="0000"/>
        </w:tblPrEx>
        <w:trPr>
          <w:cantSplit/>
        </w:trPr>
        <w:tc>
          <w:tcPr>
            <w:tcW w:w="2189" w:type="dxa"/>
          </w:tcPr>
          <w:p w:rsidR="00DF04DB" w:rsidRPr="00DF04DB" w:rsidP="00DF04DB" w14:paraId="2E069817" w14:textId="77777777">
            <w:pPr>
              <w:spacing w:after="0" w:line="240" w:lineRule="auto"/>
              <w:rPr>
                <w:rFonts w:ascii="Times New Roman" w:hAnsi="Times New Roman"/>
                <w:sz w:val="24"/>
                <w:szCs w:val="24"/>
              </w:rPr>
            </w:pPr>
            <w:r w:rsidRPr="00DF04DB">
              <w:rPr>
                <w:rFonts w:ascii="Times New Roman" w:hAnsi="Times New Roman"/>
                <w:sz w:val="24"/>
                <w:szCs w:val="24"/>
              </w:rPr>
              <w:t>E-pasta adrese:</w:t>
            </w:r>
          </w:p>
        </w:tc>
        <w:tc>
          <w:tcPr>
            <w:tcW w:w="7162" w:type="dxa"/>
            <w:gridSpan w:val="2"/>
            <w:tcBorders>
              <w:bottom w:val="single" w:sz="4" w:space="0" w:color="auto"/>
            </w:tcBorders>
          </w:tcPr>
          <w:p w:rsidR="00DF04DB" w:rsidRPr="00DF04DB" w:rsidP="00DF04DB" w14:paraId="4E0579B4" w14:textId="77777777">
            <w:pPr>
              <w:spacing w:after="0" w:line="240" w:lineRule="auto"/>
              <w:rPr>
                <w:rFonts w:ascii="Times New Roman" w:hAnsi="Times New Roman"/>
                <w:sz w:val="24"/>
                <w:szCs w:val="24"/>
              </w:rPr>
            </w:pPr>
          </w:p>
        </w:tc>
      </w:tr>
    </w:tbl>
    <w:p w:rsidR="00DF04DB" w:rsidRPr="00DF04DB" w:rsidP="00DF04DB" w14:paraId="778E5970" w14:textId="77777777">
      <w:pPr>
        <w:spacing w:after="0" w:line="240" w:lineRule="auto"/>
        <w:ind w:firstLine="720"/>
        <w:jc w:val="both"/>
        <w:rPr>
          <w:rFonts w:ascii="Times New Roman" w:eastAsia="Times New Roman" w:hAnsi="Times New Roman"/>
          <w:sz w:val="24"/>
          <w:szCs w:val="24"/>
        </w:rPr>
      </w:pPr>
    </w:p>
    <w:p w:rsidR="00DF04DB" w:rsidRPr="00DF04DB" w:rsidP="00DF04DB" w14:paraId="2B0A0431" w14:textId="77777777">
      <w:pPr>
        <w:spacing w:after="0" w:line="240" w:lineRule="auto"/>
        <w:ind w:firstLine="720"/>
        <w:jc w:val="both"/>
        <w:rPr>
          <w:rFonts w:ascii="Times New Roman" w:eastAsia="Times New Roman" w:hAnsi="Times New Roman"/>
          <w:sz w:val="24"/>
          <w:szCs w:val="24"/>
        </w:rPr>
      </w:pPr>
      <w:r w:rsidRPr="00DF04DB">
        <w:rPr>
          <w:rFonts w:ascii="Times New Roman" w:eastAsia="Times New Roman" w:hAnsi="Times New Roman"/>
          <w:sz w:val="24"/>
          <w:szCs w:val="24"/>
        </w:rPr>
        <w:t xml:space="preserve">Iepazinies ar cenu aptaujas </w:t>
      </w:r>
      <w:r w:rsidRPr="00DF04DB">
        <w:rPr>
          <w:rFonts w:ascii="Times New Roman" w:eastAsia="Times New Roman" w:hAnsi="Times New Roman"/>
          <w:b/>
          <w:bCs/>
          <w:sz w:val="24"/>
          <w:szCs w:val="24"/>
        </w:rPr>
        <w:t>“</w:t>
      </w:r>
      <w:r w:rsidRPr="00DF04DB">
        <w:rPr>
          <w:rFonts w:ascii="Times New Roman" w:hAnsi="Times New Roman"/>
          <w:b/>
          <w:sz w:val="24"/>
          <w:szCs w:val="24"/>
        </w:rPr>
        <w:t>Sašķidrinātās naftas gāzes piegāde apkurei Ērgļos</w:t>
      </w:r>
      <w:r w:rsidRPr="00DF04DB">
        <w:rPr>
          <w:rFonts w:ascii="Times New Roman" w:eastAsia="Times New Roman" w:hAnsi="Times New Roman"/>
          <w:b/>
          <w:sz w:val="24"/>
          <w:szCs w:val="24"/>
        </w:rPr>
        <w:t xml:space="preserve">, identifikācijas numurs </w:t>
      </w:r>
      <w:r w:rsidRPr="00DF04DB">
        <w:rPr>
          <w:rFonts w:ascii="Times New Roman" w:hAnsi="Times New Roman"/>
          <w:b/>
          <w:bCs/>
          <w:sz w:val="24"/>
          <w:szCs w:val="24"/>
        </w:rPr>
        <w:t>BAP/2-1/2025/65</w:t>
      </w:r>
      <w:r w:rsidRPr="00DF04DB">
        <w:rPr>
          <w:rFonts w:ascii="Times New Roman" w:eastAsia="Times New Roman" w:hAnsi="Times New Roman"/>
          <w:b/>
          <w:sz w:val="24"/>
          <w:szCs w:val="24"/>
        </w:rPr>
        <w:t>,</w:t>
      </w:r>
      <w:r w:rsidRPr="00DF04DB">
        <w:rPr>
          <w:rFonts w:ascii="Times New Roman" w:hAnsi="Times New Roman"/>
          <w:sz w:val="24"/>
          <w:szCs w:val="24"/>
        </w:rPr>
        <w:t xml:space="preserve"> </w:t>
      </w:r>
      <w:r w:rsidRPr="00DF04DB">
        <w:rPr>
          <w:rFonts w:ascii="Times New Roman" w:eastAsia="Times New Roman" w:hAnsi="Times New Roman"/>
          <w:sz w:val="24"/>
          <w:szCs w:val="24"/>
        </w:rPr>
        <w:t>noteikumiem un Tehnisko specifikāciju, piedāvāju veikt minēto pakalpojumu par šādu līgumcenu:</w:t>
      </w:r>
    </w:p>
    <w:tbl>
      <w:tblPr>
        <w:tblStyle w:val="TableGrid"/>
        <w:tblW w:w="9214" w:type="dxa"/>
        <w:tblInd w:w="-5" w:type="dxa"/>
        <w:tblLook w:val="04A0"/>
      </w:tblPr>
      <w:tblGrid>
        <w:gridCol w:w="4395"/>
        <w:gridCol w:w="4819"/>
      </w:tblGrid>
      <w:tr w14:paraId="029CE247" w14:textId="77777777" w:rsidTr="00A432E9">
        <w:tblPrEx>
          <w:tblW w:w="9214" w:type="dxa"/>
          <w:tblInd w:w="-5" w:type="dxa"/>
          <w:tblLook w:val="04A0"/>
        </w:tblPrEx>
        <w:tc>
          <w:tcPr>
            <w:tcW w:w="4395" w:type="dxa"/>
          </w:tcPr>
          <w:p w:rsidR="00DF04DB" w:rsidRPr="00DF04DB" w:rsidP="00DF04DB" w14:paraId="3A4F91DC" w14:textId="77777777">
            <w:pPr>
              <w:spacing w:after="0" w:line="240" w:lineRule="auto"/>
              <w:rPr>
                <w:rFonts w:ascii="Times New Roman" w:hAnsi="Times New Roman"/>
                <w:b/>
              </w:rPr>
            </w:pPr>
            <w:r w:rsidRPr="00DF04DB">
              <w:rPr>
                <w:rFonts w:ascii="Times New Roman" w:hAnsi="Times New Roman"/>
                <w:b/>
              </w:rPr>
              <w:t>Iepirkuma priekšmets</w:t>
            </w:r>
          </w:p>
        </w:tc>
        <w:tc>
          <w:tcPr>
            <w:tcW w:w="4819" w:type="dxa"/>
          </w:tcPr>
          <w:p w:rsidR="00DF04DB" w:rsidRPr="00DF04DB" w:rsidP="00DF04DB" w14:paraId="199B7865" w14:textId="77777777">
            <w:pPr>
              <w:spacing w:after="0" w:line="240" w:lineRule="auto"/>
              <w:rPr>
                <w:rFonts w:ascii="Times New Roman" w:hAnsi="Times New Roman"/>
                <w:b/>
                <w:vertAlign w:val="superscript"/>
              </w:rPr>
            </w:pPr>
            <w:r w:rsidRPr="00DF04DB">
              <w:rPr>
                <w:rFonts w:ascii="Times New Roman" w:hAnsi="Times New Roman"/>
                <w:b/>
              </w:rPr>
              <w:t>Vienības cena par 1 (vienu) kilogramu,</w:t>
            </w:r>
          </w:p>
          <w:p w:rsidR="00DF04DB" w:rsidRPr="00DF04DB" w:rsidP="00DF04DB" w14:paraId="7C667B80" w14:textId="77777777">
            <w:pPr>
              <w:spacing w:after="0" w:line="240" w:lineRule="auto"/>
              <w:rPr>
                <w:rFonts w:ascii="Times New Roman" w:hAnsi="Times New Roman"/>
                <w:b/>
              </w:rPr>
            </w:pPr>
            <w:r w:rsidRPr="00DF04DB">
              <w:rPr>
                <w:rFonts w:ascii="Times New Roman" w:hAnsi="Times New Roman"/>
                <w:b/>
              </w:rPr>
              <w:t>EUR bez PVN</w:t>
            </w:r>
          </w:p>
        </w:tc>
      </w:tr>
      <w:tr w14:paraId="67DE8474" w14:textId="77777777" w:rsidTr="00A432E9">
        <w:tblPrEx>
          <w:tblW w:w="9214" w:type="dxa"/>
          <w:tblInd w:w="-5" w:type="dxa"/>
          <w:tblLook w:val="04A0"/>
        </w:tblPrEx>
        <w:tc>
          <w:tcPr>
            <w:tcW w:w="4395" w:type="dxa"/>
          </w:tcPr>
          <w:p w:rsidR="00DF04DB" w:rsidRPr="00DF04DB" w:rsidP="00DF04DB" w14:paraId="57A16C2C" w14:textId="77777777">
            <w:pPr>
              <w:spacing w:after="0" w:line="240" w:lineRule="auto"/>
              <w:rPr>
                <w:rFonts w:ascii="Times New Roman" w:hAnsi="Times New Roman"/>
                <w:b/>
                <w:sz w:val="24"/>
                <w:szCs w:val="24"/>
              </w:rPr>
            </w:pPr>
            <w:r w:rsidRPr="00DF04DB">
              <w:rPr>
                <w:rFonts w:ascii="Times New Roman" w:hAnsi="Times New Roman"/>
                <w:b/>
                <w:sz w:val="24"/>
                <w:szCs w:val="24"/>
              </w:rPr>
              <w:t>Sašķidrinātās naftas gāze apkurei</w:t>
            </w:r>
          </w:p>
          <w:p w:rsidR="00DF04DB" w:rsidRPr="00DF04DB" w:rsidP="00DF04DB" w14:paraId="66BFBE88" w14:textId="77777777">
            <w:pPr>
              <w:spacing w:after="0" w:line="240" w:lineRule="auto"/>
              <w:rPr>
                <w:rFonts w:ascii="Times New Roman" w:hAnsi="Times New Roman"/>
                <w:bCs/>
                <w:sz w:val="24"/>
                <w:szCs w:val="24"/>
              </w:rPr>
            </w:pPr>
            <w:r w:rsidRPr="00DF04DB">
              <w:rPr>
                <w:rFonts w:ascii="Times New Roman" w:hAnsi="Times New Roman"/>
                <w:bCs/>
                <w:sz w:val="24"/>
                <w:szCs w:val="24"/>
              </w:rPr>
              <w:t xml:space="preserve"> (ar piegādi)</w:t>
            </w:r>
          </w:p>
        </w:tc>
        <w:tc>
          <w:tcPr>
            <w:tcW w:w="4819" w:type="dxa"/>
          </w:tcPr>
          <w:p w:rsidR="00DF04DB" w:rsidRPr="00DF04DB" w:rsidP="00DF04DB" w14:paraId="64FD637C" w14:textId="77777777">
            <w:pPr>
              <w:spacing w:after="0" w:line="240" w:lineRule="auto"/>
              <w:rPr>
                <w:rFonts w:ascii="Times New Roman" w:hAnsi="Times New Roman"/>
                <w:b/>
                <w:sz w:val="24"/>
                <w:szCs w:val="24"/>
              </w:rPr>
            </w:pPr>
          </w:p>
        </w:tc>
      </w:tr>
      <w:tr w14:paraId="7CD763C2" w14:textId="77777777" w:rsidTr="00A432E9">
        <w:tblPrEx>
          <w:tblW w:w="9214" w:type="dxa"/>
          <w:tblInd w:w="-5" w:type="dxa"/>
          <w:tblLook w:val="04A0"/>
        </w:tblPrEx>
        <w:tc>
          <w:tcPr>
            <w:tcW w:w="4395" w:type="dxa"/>
          </w:tcPr>
          <w:p w:rsidR="00DF04DB" w:rsidRPr="00DF04DB" w:rsidP="00DF04DB" w14:paraId="5E8C525F" w14:textId="77777777">
            <w:pPr>
              <w:spacing w:after="0" w:line="240" w:lineRule="auto"/>
              <w:rPr>
                <w:rFonts w:ascii="Times New Roman" w:hAnsi="Times New Roman"/>
                <w:b/>
                <w:sz w:val="24"/>
                <w:szCs w:val="24"/>
              </w:rPr>
            </w:pPr>
            <w:r w:rsidRPr="00DF04DB">
              <w:rPr>
                <w:rFonts w:ascii="Times New Roman" w:hAnsi="Times New Roman"/>
                <w:sz w:val="24"/>
                <w:szCs w:val="24"/>
              </w:rPr>
              <w:t>PVN (21%), EUR:</w:t>
            </w:r>
          </w:p>
        </w:tc>
        <w:tc>
          <w:tcPr>
            <w:tcW w:w="4819" w:type="dxa"/>
            <w:vAlign w:val="center"/>
          </w:tcPr>
          <w:p w:rsidR="00DF04DB" w:rsidRPr="00DF04DB" w:rsidP="00DF04DB" w14:paraId="4840E67F" w14:textId="77777777">
            <w:pPr>
              <w:spacing w:after="0" w:line="240" w:lineRule="auto"/>
              <w:rPr>
                <w:rFonts w:ascii="Times New Roman" w:hAnsi="Times New Roman"/>
                <w:b/>
                <w:sz w:val="24"/>
                <w:szCs w:val="24"/>
              </w:rPr>
            </w:pPr>
          </w:p>
        </w:tc>
      </w:tr>
      <w:tr w14:paraId="7F578A60" w14:textId="77777777" w:rsidTr="00A432E9">
        <w:tblPrEx>
          <w:tblW w:w="9214" w:type="dxa"/>
          <w:tblInd w:w="-5" w:type="dxa"/>
          <w:tblLook w:val="04A0"/>
        </w:tblPrEx>
        <w:tc>
          <w:tcPr>
            <w:tcW w:w="4395" w:type="dxa"/>
          </w:tcPr>
          <w:p w:rsidR="00DF04DB" w:rsidRPr="00DF04DB" w:rsidP="00DF04DB" w14:paraId="6E1B1092" w14:textId="77777777">
            <w:pPr>
              <w:spacing w:after="0" w:line="240" w:lineRule="auto"/>
              <w:rPr>
                <w:rFonts w:ascii="Times New Roman" w:hAnsi="Times New Roman"/>
                <w:b/>
                <w:sz w:val="24"/>
                <w:szCs w:val="24"/>
              </w:rPr>
            </w:pPr>
            <w:r w:rsidRPr="00DF04DB">
              <w:rPr>
                <w:rFonts w:ascii="Times New Roman" w:hAnsi="Times New Roman"/>
                <w:sz w:val="24"/>
                <w:szCs w:val="24"/>
              </w:rPr>
              <w:t>Kopējā piedāvājuma cena ar PVN, EUR</w:t>
            </w:r>
          </w:p>
        </w:tc>
        <w:tc>
          <w:tcPr>
            <w:tcW w:w="4819" w:type="dxa"/>
            <w:vAlign w:val="center"/>
          </w:tcPr>
          <w:p w:rsidR="00DF04DB" w:rsidRPr="00DF04DB" w:rsidP="00DF04DB" w14:paraId="1F579E10" w14:textId="77777777">
            <w:pPr>
              <w:spacing w:after="0" w:line="240" w:lineRule="auto"/>
              <w:rPr>
                <w:rFonts w:ascii="Times New Roman" w:hAnsi="Times New Roman"/>
                <w:b/>
                <w:sz w:val="24"/>
                <w:szCs w:val="24"/>
              </w:rPr>
            </w:pPr>
          </w:p>
        </w:tc>
      </w:tr>
    </w:tbl>
    <w:p w:rsidR="00DF04DB" w:rsidRPr="00DF04DB" w:rsidP="00DF04DB" w14:paraId="5C64786A" w14:textId="77777777">
      <w:pPr>
        <w:keepLines/>
        <w:widowControl w:val="0"/>
        <w:suppressAutoHyphens/>
        <w:spacing w:after="0" w:line="240" w:lineRule="auto"/>
        <w:ind w:firstLine="709"/>
        <w:jc w:val="both"/>
        <w:rPr>
          <w:rFonts w:ascii="Times New Roman" w:hAnsi="Times New Roman"/>
          <w:sz w:val="24"/>
          <w:szCs w:val="24"/>
        </w:rPr>
      </w:pPr>
    </w:p>
    <w:p w:rsidR="00DF04DB" w:rsidRPr="00DF04DB" w:rsidP="00DF04DB" w14:paraId="156C57F2" w14:textId="77777777">
      <w:pPr>
        <w:keepLines/>
        <w:widowControl w:val="0"/>
        <w:suppressAutoHyphens/>
        <w:spacing w:after="0" w:line="240" w:lineRule="auto"/>
        <w:ind w:firstLine="709"/>
        <w:jc w:val="both"/>
        <w:rPr>
          <w:rFonts w:ascii="Times New Roman" w:hAnsi="Times New Roman"/>
          <w:sz w:val="24"/>
          <w:szCs w:val="24"/>
        </w:rPr>
      </w:pPr>
      <w:r w:rsidRPr="00DF04DB">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 (izņemot PVN) un nodevas.</w:t>
      </w:r>
    </w:p>
    <w:p w:rsidR="00DF04DB" w:rsidRPr="00DF04DB" w:rsidP="00DF04DB" w14:paraId="7876A5CB" w14:textId="77777777">
      <w:pPr>
        <w:spacing w:after="0" w:line="240" w:lineRule="auto"/>
        <w:ind w:firstLine="709"/>
        <w:jc w:val="both"/>
        <w:rPr>
          <w:rFonts w:ascii="Times New Roman" w:hAnsi="Times New Roman"/>
          <w:sz w:val="24"/>
          <w:szCs w:val="24"/>
        </w:rPr>
      </w:pPr>
      <w:r w:rsidRPr="00DF04DB">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rsidR="00DF04DB" w:rsidRPr="00DF04DB" w:rsidP="00DF04DB" w14:paraId="7AC35680" w14:textId="77777777">
      <w:pPr>
        <w:spacing w:after="0" w:line="240" w:lineRule="auto"/>
        <w:ind w:firstLine="709"/>
        <w:jc w:val="both"/>
        <w:rPr>
          <w:rFonts w:ascii="Times New Roman" w:eastAsia="Times New Roman" w:hAnsi="Times New Roman"/>
          <w:sz w:val="24"/>
          <w:szCs w:val="24"/>
        </w:rPr>
      </w:pPr>
      <w:r w:rsidRPr="00DF04DB">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rsidR="00DF04DB" w:rsidRPr="00DF04DB" w:rsidP="00DF04DB" w14:paraId="32DA7326" w14:textId="77777777">
      <w:pPr>
        <w:spacing w:after="0" w:line="240" w:lineRule="auto"/>
        <w:ind w:firstLine="567"/>
        <w:rPr>
          <w:rFonts w:ascii="Times New Roman" w:hAnsi="Times New Roman"/>
          <w:sz w:val="24"/>
          <w:szCs w:val="24"/>
        </w:rPr>
      </w:pPr>
      <w:r w:rsidRPr="00DF04DB">
        <w:rPr>
          <w:rFonts w:ascii="Times New Roman" w:hAnsi="Times New Roman"/>
          <w:sz w:val="24"/>
          <w:szCs w:val="24"/>
        </w:rPr>
        <w:t>Ar šo apliecinu, ka visa sniegtā informācija ir patiesa.</w:t>
      </w:r>
    </w:p>
    <w:p w:rsidR="00DF04DB" w:rsidRPr="00DF04DB" w:rsidP="00DF04DB" w14:paraId="01803C05" w14:textId="77777777">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56"/>
        <w:gridCol w:w="5848"/>
      </w:tblGrid>
      <w:tr w14:paraId="14382F18" w14:textId="77777777" w:rsidTr="00A432E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5"/>
          <w:jc w:val="center"/>
        </w:trPr>
        <w:tc>
          <w:tcPr>
            <w:tcW w:w="3356" w:type="dxa"/>
            <w:shd w:val="clear" w:color="auto" w:fill="BFBFBF"/>
            <w:vAlign w:val="center"/>
          </w:tcPr>
          <w:p w:rsidR="00DF04DB" w:rsidRPr="00DF04DB" w:rsidP="00DF04DB" w14:paraId="2F8B3CAC" w14:textId="77777777">
            <w:pPr>
              <w:spacing w:after="0" w:line="240" w:lineRule="auto"/>
              <w:jc w:val="right"/>
              <w:rPr>
                <w:rFonts w:ascii="Times New Roman" w:hAnsi="Times New Roman"/>
                <w:bCs/>
                <w:sz w:val="24"/>
                <w:szCs w:val="24"/>
              </w:rPr>
            </w:pPr>
            <w:r w:rsidRPr="00DF04DB">
              <w:rPr>
                <w:rFonts w:ascii="Times New Roman" w:hAnsi="Times New Roman"/>
                <w:bCs/>
                <w:sz w:val="24"/>
                <w:szCs w:val="24"/>
              </w:rPr>
              <w:t>Vārds, uzvārds:</w:t>
            </w:r>
          </w:p>
        </w:tc>
        <w:tc>
          <w:tcPr>
            <w:tcW w:w="5848" w:type="dxa"/>
            <w:vAlign w:val="center"/>
          </w:tcPr>
          <w:p w:rsidR="00DF04DB" w:rsidRPr="00DF04DB" w:rsidP="00DF04DB" w14:paraId="0BA35673" w14:textId="77777777">
            <w:pPr>
              <w:spacing w:after="0" w:line="240" w:lineRule="auto"/>
              <w:rPr>
                <w:rFonts w:ascii="Times New Roman" w:hAnsi="Times New Roman"/>
                <w:bCs/>
                <w:sz w:val="24"/>
                <w:szCs w:val="24"/>
              </w:rPr>
            </w:pPr>
          </w:p>
        </w:tc>
      </w:tr>
      <w:tr w14:paraId="080192CE" w14:textId="77777777" w:rsidTr="00A432E9">
        <w:tblPrEx>
          <w:tblW w:w="0" w:type="auto"/>
          <w:jc w:val="center"/>
          <w:tblLook w:val="0000"/>
        </w:tblPrEx>
        <w:trPr>
          <w:trHeight w:val="249"/>
          <w:jc w:val="center"/>
        </w:trPr>
        <w:tc>
          <w:tcPr>
            <w:tcW w:w="3356" w:type="dxa"/>
            <w:shd w:val="clear" w:color="auto" w:fill="BFBFBF"/>
            <w:vAlign w:val="center"/>
          </w:tcPr>
          <w:p w:rsidR="00DF04DB" w:rsidRPr="00DF04DB" w:rsidP="00DF04DB" w14:paraId="4A73551E" w14:textId="77777777">
            <w:pPr>
              <w:spacing w:after="0" w:line="240" w:lineRule="auto"/>
              <w:jc w:val="right"/>
              <w:rPr>
                <w:rFonts w:ascii="Times New Roman" w:hAnsi="Times New Roman"/>
                <w:bCs/>
                <w:sz w:val="24"/>
                <w:szCs w:val="24"/>
              </w:rPr>
            </w:pPr>
            <w:r w:rsidRPr="00DF04DB">
              <w:rPr>
                <w:rFonts w:ascii="Times New Roman" w:hAnsi="Times New Roman"/>
                <w:bCs/>
                <w:sz w:val="24"/>
                <w:szCs w:val="24"/>
              </w:rPr>
              <w:t>Amats:</w:t>
            </w:r>
          </w:p>
        </w:tc>
        <w:tc>
          <w:tcPr>
            <w:tcW w:w="5848" w:type="dxa"/>
            <w:vAlign w:val="center"/>
          </w:tcPr>
          <w:p w:rsidR="00DF04DB" w:rsidRPr="00DF04DB" w:rsidP="00DF04DB" w14:paraId="4595343B" w14:textId="77777777">
            <w:pPr>
              <w:spacing w:after="0" w:line="240" w:lineRule="auto"/>
              <w:rPr>
                <w:rFonts w:ascii="Times New Roman" w:hAnsi="Times New Roman"/>
                <w:bCs/>
                <w:sz w:val="24"/>
                <w:szCs w:val="24"/>
              </w:rPr>
            </w:pPr>
          </w:p>
        </w:tc>
      </w:tr>
      <w:tr w14:paraId="1EAF7F47" w14:textId="77777777" w:rsidTr="00A432E9">
        <w:tblPrEx>
          <w:tblW w:w="0" w:type="auto"/>
          <w:jc w:val="center"/>
          <w:tblLook w:val="0000"/>
        </w:tblPrEx>
        <w:trPr>
          <w:trHeight w:val="239"/>
          <w:jc w:val="center"/>
        </w:trPr>
        <w:tc>
          <w:tcPr>
            <w:tcW w:w="3356" w:type="dxa"/>
            <w:shd w:val="clear" w:color="auto" w:fill="BFBFBF"/>
            <w:vAlign w:val="center"/>
          </w:tcPr>
          <w:p w:rsidR="00DF04DB" w:rsidRPr="00DF04DB" w:rsidP="00DF04DB" w14:paraId="3F69945F" w14:textId="77777777">
            <w:pPr>
              <w:spacing w:after="0" w:line="240" w:lineRule="auto"/>
              <w:jc w:val="right"/>
              <w:rPr>
                <w:rFonts w:ascii="Times New Roman" w:hAnsi="Times New Roman"/>
                <w:bCs/>
                <w:sz w:val="24"/>
                <w:szCs w:val="24"/>
              </w:rPr>
            </w:pPr>
            <w:r w:rsidRPr="00DF04DB">
              <w:rPr>
                <w:rFonts w:ascii="Times New Roman" w:hAnsi="Times New Roman"/>
                <w:bCs/>
                <w:sz w:val="24"/>
                <w:szCs w:val="24"/>
              </w:rPr>
              <w:t>Paraksts</w:t>
            </w:r>
            <w:r>
              <w:rPr>
                <w:rFonts w:ascii="Times New Roman" w:hAnsi="Times New Roman"/>
                <w:sz w:val="24"/>
                <w:szCs w:val="24"/>
                <w:vertAlign w:val="superscript"/>
              </w:rPr>
              <w:footnoteReference w:id="2"/>
            </w:r>
            <w:r w:rsidRPr="00DF04DB">
              <w:rPr>
                <w:rFonts w:ascii="Times New Roman" w:hAnsi="Times New Roman"/>
                <w:bCs/>
                <w:sz w:val="24"/>
                <w:szCs w:val="24"/>
              </w:rPr>
              <w:t>:</w:t>
            </w:r>
          </w:p>
        </w:tc>
        <w:tc>
          <w:tcPr>
            <w:tcW w:w="5848" w:type="dxa"/>
            <w:vAlign w:val="center"/>
          </w:tcPr>
          <w:p w:rsidR="00DF04DB" w:rsidRPr="00DF04DB" w:rsidP="00DF04DB" w14:paraId="506DC871" w14:textId="77777777">
            <w:pPr>
              <w:spacing w:after="0" w:line="240" w:lineRule="auto"/>
              <w:rPr>
                <w:rFonts w:ascii="Times New Roman" w:hAnsi="Times New Roman"/>
                <w:bCs/>
                <w:sz w:val="24"/>
                <w:szCs w:val="24"/>
              </w:rPr>
            </w:pPr>
          </w:p>
        </w:tc>
      </w:tr>
      <w:tr w14:paraId="34F4B6FC" w14:textId="77777777" w:rsidTr="00A432E9">
        <w:tblPrEx>
          <w:tblW w:w="0" w:type="auto"/>
          <w:jc w:val="center"/>
          <w:tblLook w:val="0000"/>
        </w:tblPrEx>
        <w:trPr>
          <w:trHeight w:val="243"/>
          <w:jc w:val="center"/>
        </w:trPr>
        <w:tc>
          <w:tcPr>
            <w:tcW w:w="3356" w:type="dxa"/>
            <w:shd w:val="clear" w:color="auto" w:fill="BFBFBF"/>
            <w:vAlign w:val="center"/>
          </w:tcPr>
          <w:p w:rsidR="00DF04DB" w:rsidRPr="00DF04DB" w:rsidP="00DF04DB" w14:paraId="4DB293AB" w14:textId="77777777">
            <w:pPr>
              <w:spacing w:after="0" w:line="240" w:lineRule="auto"/>
              <w:jc w:val="right"/>
              <w:rPr>
                <w:rFonts w:ascii="Times New Roman" w:hAnsi="Times New Roman"/>
                <w:bCs/>
                <w:sz w:val="24"/>
                <w:szCs w:val="24"/>
              </w:rPr>
            </w:pPr>
            <w:r w:rsidRPr="00DF04DB">
              <w:rPr>
                <w:rFonts w:ascii="Times New Roman" w:hAnsi="Times New Roman"/>
                <w:bCs/>
                <w:sz w:val="24"/>
                <w:szCs w:val="24"/>
              </w:rPr>
              <w:t>Datums:</w:t>
            </w:r>
          </w:p>
        </w:tc>
        <w:tc>
          <w:tcPr>
            <w:tcW w:w="5848" w:type="dxa"/>
            <w:vAlign w:val="center"/>
          </w:tcPr>
          <w:p w:rsidR="00DF04DB" w:rsidRPr="00DF04DB" w:rsidP="00DF04DB" w14:paraId="56D7EEE5" w14:textId="77777777">
            <w:pPr>
              <w:spacing w:after="0" w:line="240" w:lineRule="auto"/>
              <w:rPr>
                <w:rFonts w:ascii="Times New Roman" w:hAnsi="Times New Roman"/>
                <w:bCs/>
                <w:sz w:val="24"/>
                <w:szCs w:val="24"/>
              </w:rPr>
            </w:pPr>
          </w:p>
        </w:tc>
      </w:tr>
    </w:tbl>
    <w:p w:rsidR="00DF04DB" w:rsidRPr="00DF04DB" w:rsidP="00DF04DB" w14:paraId="2B1CBBB0" w14:textId="77777777">
      <w:pPr>
        <w:jc w:val="center"/>
        <w:rPr>
          <w:rFonts w:ascii="Times New Roman" w:hAnsi="Times New Roman"/>
        </w:rPr>
      </w:pPr>
      <w:r w:rsidRPr="00DF04DB">
        <w:rPr>
          <w:rFonts w:ascii="Times New Roman" w:hAnsi="Times New Roman"/>
        </w:rPr>
        <w:t xml:space="preserve">Piedāvājumu paraksta pretendenta </w:t>
      </w:r>
      <w:r w:rsidRPr="00DF04DB">
        <w:rPr>
          <w:rFonts w:ascii="Times New Roman" w:hAnsi="Times New Roman"/>
        </w:rPr>
        <w:t>paraksttiesīgā</w:t>
      </w:r>
      <w:r w:rsidRPr="00DF04DB">
        <w:rPr>
          <w:rFonts w:ascii="Times New Roman" w:hAnsi="Times New Roman"/>
        </w:rPr>
        <w:t xml:space="preserve"> persona</w:t>
      </w:r>
    </w:p>
    <w:p w:rsidR="000406B9" w:rsidRPr="00DF04DB" w:rsidP="00DF04DB" w14:paraId="7CFFADE2" w14:textId="77777777"/>
    <w:sectPr w:rsidSect="001E00D1">
      <w:footerReference w:type="default" r:id="rId5"/>
      <w:footerReference w:type="first" r:id="rId6"/>
      <w:pgSz w:w="11906" w:h="16838"/>
      <w:pgMar w:top="709" w:right="1133" w:bottom="1276" w:left="1276" w:header="709" w:footer="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56FE" w14:paraId="59711F5F"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rsidR="002456FE" w14:paraId="63CD6F87" w14:textId="77777777">
    <w:r>
      <w:t xml:space="preserve">        </w:t>
    </w:r>
  </w:p>
  <w:p w:rsidR="002456FE" w14:paraId="5B3C7D16"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56FE" w14:paraId="2C267C66" w14:textId="77777777">
    <w:r>
      <w:t xml:space="preserve">          </w:t>
    </w:r>
    <w:r>
      <w:t>Šis dokuments ir parakstīts ar drošu elektronisko parakstu un satur laika zīmogu</w:t>
    </w:r>
  </w:p>
  <w:p w:rsidR="002456FE" w14:paraId="5B7F21A1" w14:textId="77777777">
    <w:r>
      <w:t xml:space="preserve">          Šis dokuments ir parakstīts ar drošu elektronisko parakstu un satur laika zīmogu</w:t>
    </w:r>
  </w:p>
  <w:p w:rsidR="002456FE" w14:paraId="373A0FC1" w14:textId="77777777">
    <w:r>
      <w:t xml:space="preserve">          Šis dokuments ir parakstīts ar drošu elektronisko parakstu un satur laika zīmogu</w:t>
    </w:r>
  </w:p>
  <w:p w:rsidR="002456FE" w14:paraId="497B3907" w14:textId="77777777">
    <w:r>
      <w:t xml:space="preserve">          Šis dokuments ir parakstīts ar drošu elektronisko parakstu un satur laika zīmogu</w:t>
    </w:r>
  </w:p>
  <w:p w:rsidR="002456FE" w14:paraId="17479A30" w14:textId="77777777">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254F8" w:rsidP="001E00D1" w14:paraId="6ED99E8F" w14:textId="77777777">
      <w:pPr>
        <w:spacing w:after="0" w:line="240" w:lineRule="auto"/>
      </w:pPr>
      <w:r>
        <w:separator/>
      </w:r>
    </w:p>
  </w:footnote>
  <w:footnote w:type="continuationSeparator" w:id="1">
    <w:p w:rsidR="002254F8" w:rsidP="001E00D1" w14:paraId="23E7F678" w14:textId="77777777">
      <w:pPr>
        <w:spacing w:after="0" w:line="240" w:lineRule="auto"/>
      </w:pPr>
      <w:r>
        <w:continuationSeparator/>
      </w:r>
    </w:p>
  </w:footnote>
  <w:footnote w:id="2">
    <w:p w:rsidR="00DF04DB" w:rsidP="00DF04DB" w14:paraId="08591620" w14:textId="77777777">
      <w:pPr>
        <w:pStyle w:val="FootnoteText"/>
      </w:pPr>
      <w:r w:rsidRPr="00DF04DB">
        <w:rPr>
          <w:rStyle w:val="FootnoteReference"/>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1"/>
    <w:rsid w:val="000406B9"/>
    <w:rsid w:val="001A4444"/>
    <w:rsid w:val="001E00D1"/>
    <w:rsid w:val="002254F8"/>
    <w:rsid w:val="002456FE"/>
    <w:rsid w:val="002D517C"/>
    <w:rsid w:val="003E1C09"/>
    <w:rsid w:val="004C15F6"/>
    <w:rsid w:val="00526AD6"/>
    <w:rsid w:val="008302C0"/>
    <w:rsid w:val="008E4647"/>
    <w:rsid w:val="00B042AA"/>
    <w:rsid w:val="00C90F42"/>
    <w:rsid w:val="00DF04DB"/>
    <w:rsid w:val="00E4306E"/>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67897FFF"/>
  <w15:chartTrackingRefBased/>
  <w15:docId w15:val="{27108621-B0B0-45E6-A204-910D9673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0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Virsraksts1Rakstz"/>
    <w:uiPriority w:val="9"/>
    <w:qFormat/>
    <w:rsid w:val="001E00D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Virsraksts2Rakstz"/>
    <w:uiPriority w:val="9"/>
    <w:semiHidden/>
    <w:unhideWhenUsed/>
    <w:qFormat/>
    <w:rsid w:val="001E00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Virsraksts3Rakstz"/>
    <w:uiPriority w:val="9"/>
    <w:semiHidden/>
    <w:unhideWhenUsed/>
    <w:qFormat/>
    <w:rsid w:val="001E00D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Virsraksts4Rakstz"/>
    <w:uiPriority w:val="9"/>
    <w:semiHidden/>
    <w:unhideWhenUsed/>
    <w:qFormat/>
    <w:rsid w:val="001E00D1"/>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Virsraksts5Rakstz"/>
    <w:uiPriority w:val="9"/>
    <w:semiHidden/>
    <w:unhideWhenUsed/>
    <w:qFormat/>
    <w:rsid w:val="001E00D1"/>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Virsraksts6Rakstz"/>
    <w:uiPriority w:val="9"/>
    <w:semiHidden/>
    <w:unhideWhenUsed/>
    <w:qFormat/>
    <w:rsid w:val="001E00D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Virsraksts7Rakstz"/>
    <w:uiPriority w:val="9"/>
    <w:semiHidden/>
    <w:unhideWhenUsed/>
    <w:qFormat/>
    <w:rsid w:val="001E00D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Virsraksts8Rakstz"/>
    <w:uiPriority w:val="9"/>
    <w:semiHidden/>
    <w:unhideWhenUsed/>
    <w:qFormat/>
    <w:rsid w:val="001E00D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Virsraksts9Rakstz"/>
    <w:uiPriority w:val="9"/>
    <w:semiHidden/>
    <w:unhideWhenUsed/>
    <w:qFormat/>
    <w:rsid w:val="001E00D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1E00D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1E00D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1E00D1"/>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1E00D1"/>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1E00D1"/>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1E00D1"/>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1E00D1"/>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1E00D1"/>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1E00D1"/>
    <w:rPr>
      <w:rFonts w:eastAsiaTheme="majorEastAsia" w:cstheme="majorBidi"/>
      <w:color w:val="272727" w:themeColor="text1" w:themeTint="D8"/>
    </w:rPr>
  </w:style>
  <w:style w:type="paragraph" w:styleId="Title">
    <w:name w:val="Title"/>
    <w:basedOn w:val="Normal"/>
    <w:next w:val="Normal"/>
    <w:link w:val="NosaukumsRakstz"/>
    <w:uiPriority w:val="10"/>
    <w:qFormat/>
    <w:rsid w:val="001E00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DefaultParagraphFont"/>
    <w:link w:val="Title"/>
    <w:uiPriority w:val="10"/>
    <w:rsid w:val="001E00D1"/>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1E00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DefaultParagraphFont"/>
    <w:link w:val="Subtitle"/>
    <w:uiPriority w:val="11"/>
    <w:rsid w:val="001E00D1"/>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1E00D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DefaultParagraphFont"/>
    <w:link w:val="Quote"/>
    <w:uiPriority w:val="29"/>
    <w:rsid w:val="001E00D1"/>
    <w:rPr>
      <w:i/>
      <w:iCs/>
      <w:color w:val="404040" w:themeColor="text1" w:themeTint="BF"/>
    </w:r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SarakstarindkopaRakstz"/>
    <w:uiPriority w:val="34"/>
    <w:qFormat/>
    <w:rsid w:val="001E00D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E00D1"/>
    <w:rPr>
      <w:i/>
      <w:iCs/>
      <w:color w:val="2F5496" w:themeColor="accent1" w:themeShade="BF"/>
    </w:rPr>
  </w:style>
  <w:style w:type="paragraph" w:styleId="IntenseQuote">
    <w:name w:val="Intense Quote"/>
    <w:basedOn w:val="Normal"/>
    <w:next w:val="Normal"/>
    <w:link w:val="IntensvscittsRakstz"/>
    <w:uiPriority w:val="30"/>
    <w:qFormat/>
    <w:rsid w:val="001E00D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DefaultParagraphFont"/>
    <w:link w:val="IntenseQuote"/>
    <w:uiPriority w:val="30"/>
    <w:rsid w:val="001E00D1"/>
    <w:rPr>
      <w:i/>
      <w:iCs/>
      <w:color w:val="2F5496" w:themeColor="accent1" w:themeShade="BF"/>
    </w:rPr>
  </w:style>
  <w:style w:type="character" w:styleId="IntenseReference">
    <w:name w:val="Intense Reference"/>
    <w:basedOn w:val="DefaultParagraphFont"/>
    <w:uiPriority w:val="32"/>
    <w:qFormat/>
    <w:rsid w:val="001E00D1"/>
    <w:rPr>
      <w:b/>
      <w:bCs/>
      <w:smallCaps/>
      <w:color w:val="2F5496" w:themeColor="accent1" w:themeShade="BF"/>
      <w:spacing w:val="5"/>
    </w:rPr>
  </w:style>
  <w:style w:type="table" w:styleId="TableGrid">
    <w:name w:val="Table Grid"/>
    <w:basedOn w:val="TableNormal"/>
    <w:uiPriority w:val="39"/>
    <w:rsid w:val="001E00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ListParagraph"/>
    <w:uiPriority w:val="34"/>
    <w:qFormat/>
    <w:rsid w:val="001E00D1"/>
  </w:style>
  <w:style w:type="paragraph" w:styleId="FootnoteText">
    <w:name w:val="footnote text"/>
    <w:basedOn w:val="Normal"/>
    <w:link w:val="VrestekstsRakstz"/>
    <w:rsid w:val="001E00D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DefaultParagraphFont"/>
    <w:link w:val="FootnoteText"/>
    <w:rsid w:val="001E00D1"/>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
    <w:uiPriority w:val="99"/>
    <w:rsid w:val="001E00D1"/>
    <w:rPr>
      <w:vertAlign w:val="superscript"/>
    </w:rPr>
  </w:style>
  <w:style w:type="paragraph" w:styleId="Header">
    <w:name w:val="header"/>
    <w:basedOn w:val="Normal"/>
    <w:link w:val="GalveneRakstz"/>
    <w:uiPriority w:val="99"/>
    <w:unhideWhenUsed/>
    <w:rsid w:val="002D517C"/>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2D517C"/>
    <w:rPr>
      <w:rFonts w:ascii="Calibri" w:eastAsia="Calibri" w:hAnsi="Calibri" w:cs="Times New Roman"/>
      <w:kern w:val="0"/>
      <w14:ligatures w14:val="none"/>
    </w:rPr>
  </w:style>
  <w:style w:type="paragraph" w:styleId="Footer">
    <w:name w:val="footer"/>
    <w:basedOn w:val="Normal"/>
    <w:link w:val="KjeneRakstz"/>
    <w:uiPriority w:val="99"/>
    <w:unhideWhenUsed/>
    <w:rsid w:val="002D517C"/>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2D517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1128</Words>
  <Characters>644</Characters>
  <Application>Microsoft Office Word</Application>
  <DocSecurity>0</DocSecurity>
  <Lines>5</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Uldis Bauskasnovads</cp:lastModifiedBy>
  <cp:revision>3</cp:revision>
  <dcterms:created xsi:type="dcterms:W3CDTF">2025-03-19T11:27:00Z</dcterms:created>
  <dcterms:modified xsi:type="dcterms:W3CDTF">2025-11-05T07:12:00Z</dcterms:modified>
</cp:coreProperties>
</file>