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72A109E0" w:rsidR="00DC5561" w:rsidRPr="00431D4E" w:rsidRDefault="00421EAB" w:rsidP="00421EAB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431D4E">
        <w:rPr>
          <w:noProof/>
        </w:rPr>
        <w:drawing>
          <wp:inline distT="0" distB="0" distL="0" distR="0" wp14:anchorId="2704CB7D" wp14:editId="7DFF50A6">
            <wp:extent cx="2266950" cy="684250"/>
            <wp:effectExtent l="0" t="0" r="0" b="1905"/>
            <wp:docPr id="11330534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5349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53" cy="6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431D4E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431D4E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3CBBAF8C" w14:textId="6C17C221" w:rsidR="000A4A7C" w:rsidRPr="00431D4E" w:rsidRDefault="000A4A7C" w:rsidP="000F5BBC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Aparatūra digitālā satura veidošan</w:t>
      </w:r>
      <w:r w:rsidR="0013271A"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ai</w:t>
      </w:r>
    </w:p>
    <w:p w14:paraId="304659D8" w14:textId="781E8268" w:rsidR="006A109D" w:rsidRPr="00431D4E" w:rsidRDefault="000A6B08" w:rsidP="000F5BBC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0"/>
      <w:bookmarkEnd w:id="1"/>
      <w:bookmarkEnd w:id="2"/>
      <w:bookmarkEnd w:id="3"/>
      <w:r w:rsidR="000F5BBC" w:rsidRPr="00431D4E">
        <w:rPr>
          <w:rFonts w:ascii="Times New Roman" w:eastAsia="Times New Roman" w:hAnsi="Times New Roman"/>
          <w:b/>
          <w:sz w:val="24"/>
          <w:szCs w:val="24"/>
        </w:rPr>
        <w:t>Nr. BNP/CA/2025/</w:t>
      </w:r>
      <w:r w:rsidR="00520A15" w:rsidRPr="00431D4E">
        <w:rPr>
          <w:rFonts w:ascii="Times New Roman" w:eastAsia="Times New Roman" w:hAnsi="Times New Roman"/>
          <w:b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0F340340" w14:textId="77777777" w:rsidR="00421EAB" w:rsidRPr="00431D4E" w:rsidRDefault="00421EAB" w:rsidP="00421EAB">
      <w:pPr>
        <w:rPr>
          <w:rFonts w:ascii="Times New Roman" w:eastAsia="Times New Roman" w:hAnsi="Times New Roman"/>
          <w:i/>
        </w:rPr>
      </w:pPr>
    </w:p>
    <w:p w14:paraId="39052D16" w14:textId="53061CDB" w:rsidR="00421EAB" w:rsidRPr="00431D4E" w:rsidRDefault="00421EAB" w:rsidP="00421EAB">
      <w:pPr>
        <w:rPr>
          <w:rFonts w:ascii="Times New Roman" w:eastAsia="Times New Roman" w:hAnsi="Times New Roman"/>
          <w:i/>
        </w:rPr>
      </w:pPr>
      <w:r w:rsidRPr="00431D4E">
        <w:rPr>
          <w:rFonts w:ascii="Times New Roman" w:eastAsia="Times New Roman" w:hAnsi="Times New Roman"/>
          <w:i/>
        </w:rPr>
        <w:t xml:space="preserve">Projekta aktivitāte </w:t>
      </w:r>
      <w:r w:rsidRPr="00431D4E">
        <w:rPr>
          <w:rFonts w:ascii="Times New Roman" w:hAnsi="Times New Roman"/>
          <w:i/>
        </w:rPr>
        <w:t>A.1.3, sasniedzamais rādītājs D.1.3.3</w:t>
      </w:r>
    </w:p>
    <w:p w14:paraId="2129DB3E" w14:textId="77777777" w:rsidR="00605EC0" w:rsidRPr="00431D4E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4"/>
    <w:p w14:paraId="16B595C7" w14:textId="77777777" w:rsidR="005045ED" w:rsidRPr="00431D4E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431D4E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431D4E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431D4E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431D4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31D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0285DB59" w:rsidR="009444FB" w:rsidRPr="00431D4E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431D4E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0A4A7C" w:rsidRPr="00431D4E">
        <w:rPr>
          <w:rFonts w:ascii="Times New Roman" w:hAnsi="Times New Roman"/>
          <w:b/>
          <w:sz w:val="24"/>
          <w:szCs w:val="24"/>
        </w:rPr>
        <w:t>Aparatūra digitālā satura veidošan</w:t>
      </w:r>
      <w:r w:rsidR="0013271A" w:rsidRPr="00431D4E">
        <w:rPr>
          <w:rFonts w:ascii="Times New Roman" w:hAnsi="Times New Roman"/>
          <w:b/>
          <w:sz w:val="24"/>
          <w:szCs w:val="24"/>
        </w:rPr>
        <w:t>ai</w:t>
      </w:r>
      <w:r w:rsidRPr="00431D4E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, </w:t>
      </w:r>
      <w:r w:rsidRPr="00431D4E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7927F8E6" w14:textId="047BC0ED" w:rsidR="002F567B" w:rsidRPr="00431D4E" w:rsidRDefault="009444FB" w:rsidP="000F5BB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F5BBC" w:rsidRPr="00431D4E">
        <w:rPr>
          <w:rFonts w:ascii="Times New Roman" w:eastAsia="Times New Roman" w:hAnsi="Times New Roman"/>
          <w:sz w:val="24"/>
          <w:szCs w:val="24"/>
        </w:rPr>
        <w:t>Nr. BNP/CA/2025/</w:t>
      </w:r>
      <w:r w:rsidR="00520A15" w:rsidRPr="00431D4E">
        <w:rPr>
          <w:rFonts w:ascii="Times New Roman" w:eastAsia="Times New Roman" w:hAnsi="Times New Roman"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sz w:val="24"/>
          <w:szCs w:val="24"/>
        </w:rPr>
        <w:t>8</w:t>
      </w:r>
    </w:p>
    <w:p w14:paraId="030D1702" w14:textId="77777777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Latvijas–Lietuvas pārrobežu sadarbības programmas projekta: "Digitāli pieejami un pievilcīgi zudušā kultūras mantojuma tūrisma galamērķi Zemgalē un </w:t>
      </w:r>
      <w:proofErr w:type="spellStart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Ziemeļlietuvā</w:t>
      </w:r>
      <w:proofErr w:type="spellEnd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” (</w:t>
      </w:r>
      <w:proofErr w:type="spellStart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Reclaimed</w:t>
      </w:r>
      <w:proofErr w:type="spellEnd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history</w:t>
      </w:r>
      <w:proofErr w:type="spellEnd"/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) (projekta Nr. LL-00061) darbības ietvaros.</w:t>
      </w:r>
    </w:p>
    <w:p w14:paraId="415F2AB5" w14:textId="77777777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 Bauskas novada pašvaldības iestādes “Bauskas novada administrācija” Attīstības un plānošanas nodaļas projektu vadītāja Antra Bagone, e-pasts: antra.bagone@bauskasnovads.lv, tālr. +371 65795188.</w:t>
      </w:r>
    </w:p>
    <w:p w14:paraId="07C5452A" w14:textId="5CAE4E9E" w:rsidR="000A4A7C" w:rsidRPr="00431D4E" w:rsidRDefault="000A4A7C" w:rsidP="000A4A7C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laiks:</w:t>
      </w:r>
      <w:r w:rsidRPr="00431D4E">
        <w:rPr>
          <w:rFonts w:ascii="Times New Roman" w:hAnsi="Times New Roman"/>
          <w:sz w:val="24"/>
          <w:szCs w:val="24"/>
        </w:rPr>
        <w:t xml:space="preserve"> Pretendents savu piedāvājumu iesniedz</w:t>
      </w:r>
      <w:r w:rsidRPr="00431D4E">
        <w:rPr>
          <w:rFonts w:ascii="Times New Roman" w:hAnsi="Times New Roman"/>
          <w:b/>
          <w:sz w:val="24"/>
          <w:szCs w:val="24"/>
        </w:rPr>
        <w:t xml:space="preserve"> līdz 2025. gada </w:t>
      </w:r>
      <w:r w:rsidR="00B64DBD" w:rsidRPr="00431D4E">
        <w:rPr>
          <w:rFonts w:ascii="Times New Roman" w:hAnsi="Times New Roman"/>
          <w:b/>
          <w:sz w:val="24"/>
          <w:szCs w:val="24"/>
        </w:rPr>
        <w:t>2</w:t>
      </w:r>
      <w:r w:rsidR="00A51886" w:rsidRPr="00431D4E">
        <w:rPr>
          <w:rFonts w:ascii="Times New Roman" w:hAnsi="Times New Roman"/>
          <w:b/>
          <w:sz w:val="24"/>
          <w:szCs w:val="24"/>
        </w:rPr>
        <w:t>4</w:t>
      </w:r>
      <w:r w:rsidRPr="00431D4E">
        <w:rPr>
          <w:rFonts w:ascii="Times New Roman" w:hAnsi="Times New Roman"/>
          <w:b/>
          <w:sz w:val="24"/>
          <w:szCs w:val="24"/>
        </w:rPr>
        <w:t>. </w:t>
      </w:r>
      <w:r w:rsidR="00B64DBD" w:rsidRPr="00431D4E">
        <w:rPr>
          <w:rFonts w:ascii="Times New Roman" w:hAnsi="Times New Roman"/>
          <w:b/>
          <w:sz w:val="24"/>
          <w:szCs w:val="24"/>
        </w:rPr>
        <w:t>novembrim</w:t>
      </w:r>
      <w:r w:rsidRPr="00431D4E">
        <w:rPr>
          <w:rFonts w:ascii="Times New Roman" w:hAnsi="Times New Roman"/>
          <w:b/>
          <w:sz w:val="24"/>
          <w:szCs w:val="24"/>
        </w:rPr>
        <w:t xml:space="preserve">, plkst. </w:t>
      </w:r>
      <w:r w:rsidR="00B64DBD" w:rsidRPr="00431D4E">
        <w:rPr>
          <w:rFonts w:ascii="Times New Roman" w:hAnsi="Times New Roman"/>
          <w:b/>
          <w:sz w:val="24"/>
          <w:szCs w:val="24"/>
        </w:rPr>
        <w:t>1</w:t>
      </w:r>
      <w:r w:rsidR="00A51886" w:rsidRPr="00431D4E">
        <w:rPr>
          <w:rFonts w:ascii="Times New Roman" w:hAnsi="Times New Roman"/>
          <w:b/>
          <w:sz w:val="24"/>
          <w:szCs w:val="24"/>
        </w:rPr>
        <w:t>7</w:t>
      </w:r>
      <w:r w:rsidRPr="00431D4E">
        <w:rPr>
          <w:rFonts w:ascii="Times New Roman" w:hAnsi="Times New Roman"/>
          <w:b/>
          <w:sz w:val="24"/>
          <w:szCs w:val="24"/>
        </w:rPr>
        <w:t>.00</w:t>
      </w:r>
      <w:r w:rsidRPr="00431D4E">
        <w:rPr>
          <w:rFonts w:ascii="Times New Roman" w:hAnsi="Times New Roman"/>
          <w:sz w:val="24"/>
          <w:szCs w:val="24"/>
        </w:rPr>
        <w:t xml:space="preserve">, nosūtot elektroniski uz e-pasta adresi: </w:t>
      </w:r>
      <w:hyperlink r:id="rId9" w:history="1">
        <w:r w:rsidRPr="00431D4E">
          <w:rPr>
            <w:rStyle w:val="Hipersaite"/>
            <w:rFonts w:ascii="Times New Roman" w:hAnsi="Times New Roman"/>
            <w:sz w:val="24"/>
            <w:szCs w:val="24"/>
          </w:rPr>
          <w:t>antra.bagone@bauskasnovads.lv</w:t>
        </w:r>
      </w:hyperlink>
      <w:r w:rsidRPr="00431D4E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431D4E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431D4E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431D4E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F7DAB73" w14:textId="6B47482F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Piegāde pilnā apmērā veicama </w:t>
      </w:r>
      <w:r w:rsidR="00A51886" w:rsidRPr="00431D4E">
        <w:rPr>
          <w:rFonts w:ascii="Times New Roman" w:hAnsi="Times New Roman"/>
          <w:b/>
          <w:bCs/>
          <w:sz w:val="24"/>
          <w:szCs w:val="24"/>
        </w:rPr>
        <w:t>45</w:t>
      </w:r>
      <w:r w:rsidRPr="00431D4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64DBD" w:rsidRPr="00431D4E">
        <w:rPr>
          <w:rFonts w:ascii="Times New Roman" w:hAnsi="Times New Roman"/>
          <w:b/>
          <w:bCs/>
          <w:sz w:val="24"/>
          <w:szCs w:val="24"/>
        </w:rPr>
        <w:t>kalendāro dienu</w:t>
      </w:r>
      <w:r w:rsidRPr="00431D4E">
        <w:rPr>
          <w:rFonts w:ascii="Times New Roman" w:hAnsi="Times New Roman"/>
          <w:b/>
          <w:bCs/>
          <w:sz w:val="24"/>
          <w:szCs w:val="24"/>
        </w:rPr>
        <w:t xml:space="preserve"> laikā no līguma noslēgšanas dienas</w:t>
      </w:r>
      <w:r w:rsidRPr="00431D4E">
        <w:rPr>
          <w:rFonts w:ascii="Times New Roman" w:hAnsi="Times New Roman"/>
          <w:sz w:val="24"/>
          <w:szCs w:val="24"/>
        </w:rPr>
        <w:t>.</w:t>
      </w:r>
    </w:p>
    <w:p w14:paraId="652F0984" w14:textId="77777777" w:rsidR="00B64DBD" w:rsidRPr="00431D4E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Piegādes vieta: </w:t>
      </w:r>
      <w:r w:rsidR="00B64DBD" w:rsidRPr="00431D4E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Rātslaukums 1, Bauska, Bauskas novads, LV-3901 </w:t>
      </w:r>
    </w:p>
    <w:p w14:paraId="472F38E6" w14:textId="0A11BA91" w:rsidR="002F567B" w:rsidRPr="00431D4E" w:rsidRDefault="002F567B" w:rsidP="00B64DB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Apmaksa: </w:t>
      </w:r>
      <w:r w:rsidRPr="00431D4E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līgums ar pēcapmaksu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, garantēta samaksa pēc līguma izpildes pieņemšanas - nodošanas akta parakstīšanas un rēķina saņemšanas (saskaņā ar</w:t>
      </w:r>
      <w:r w:rsidRPr="00431D4E">
        <w:rPr>
          <w:rFonts w:ascii="Times New Roman" w:hAnsi="Times New Roman"/>
          <w:sz w:val="24"/>
          <w:szCs w:val="24"/>
        </w:rPr>
        <w:t xml:space="preserve"> 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noslēgto līgumu).</w:t>
      </w:r>
    </w:p>
    <w:p w14:paraId="4C88ABFF" w14:textId="01967856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Piegādātājs nodrošina preces garantiju </w:t>
      </w:r>
      <w:r w:rsidR="00A51886" w:rsidRPr="00431D4E">
        <w:rPr>
          <w:rFonts w:ascii="TimesNewRomanPSMT" w:eastAsiaTheme="minorHAnsi" w:hAnsi="TimesNewRomanPSMT" w:cs="TimesNewRomanPSMT"/>
          <w:sz w:val="24"/>
          <w:szCs w:val="24"/>
        </w:rPr>
        <w:t xml:space="preserve">ne mazāk kā 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24 (divdesmit četrus) mēnešus no</w:t>
      </w:r>
      <w:r w:rsidRPr="00431D4E">
        <w:rPr>
          <w:rFonts w:ascii="Times New Roman" w:hAnsi="Times New Roman"/>
          <w:sz w:val="24"/>
          <w:szCs w:val="24"/>
        </w:rPr>
        <w:t xml:space="preserve"> 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pieņemšanas-nodošanas akta parakstīšanas dienas.</w:t>
      </w:r>
    </w:p>
    <w:p w14:paraId="103A0CA4" w14:textId="443CFBEA" w:rsidR="002F567B" w:rsidRPr="00431D4E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NewRomanPSMT" w:eastAsiaTheme="minorHAnsi" w:hAnsi="TimesNewRomanPSMT" w:cs="TimesNewRomanPSMT"/>
          <w:sz w:val="24"/>
          <w:szCs w:val="24"/>
        </w:rPr>
        <w:t>Pretendents preces cenā iekļauj preces piegādi, izkraušanu un montāžu (ja</w:t>
      </w:r>
      <w:r w:rsidRPr="00431D4E">
        <w:rPr>
          <w:rFonts w:ascii="Times New Roman" w:hAnsi="Times New Roman"/>
          <w:sz w:val="24"/>
          <w:szCs w:val="24"/>
        </w:rPr>
        <w:t xml:space="preserve"> </w:t>
      </w:r>
      <w:r w:rsidRPr="00431D4E">
        <w:rPr>
          <w:rFonts w:ascii="TimesNewRomanPSMT" w:eastAsiaTheme="minorHAnsi" w:hAnsi="TimesNewRomanPSMT" w:cs="TimesNewRomanPSMT"/>
          <w:sz w:val="24"/>
          <w:szCs w:val="24"/>
        </w:rPr>
        <w:t>nepieciešams).</w:t>
      </w:r>
    </w:p>
    <w:p w14:paraId="2705C6A2" w14:textId="77777777" w:rsidR="00540E92" w:rsidRPr="00431D4E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431D4E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431D4E">
        <w:rPr>
          <w:rFonts w:ascii="Times New Roman" w:hAnsi="Times New Roman"/>
          <w:b/>
          <w:sz w:val="24"/>
          <w:szCs w:val="24"/>
        </w:rPr>
        <w:t>m</w:t>
      </w:r>
      <w:r w:rsidR="003A63F3" w:rsidRPr="00431D4E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431D4E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431D4E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431D4E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431D4E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553E87F0" w:rsidR="00530897" w:rsidRPr="00431D4E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431D4E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77777777" w:rsidR="00A005CE" w:rsidRPr="00431D4E" w:rsidRDefault="00A005CE" w:rsidP="00A005CE">
      <w:pPr>
        <w:pStyle w:val="Sarakstarindkopa"/>
        <w:numPr>
          <w:ilvl w:val="1"/>
          <w:numId w:val="28"/>
        </w:numPr>
        <w:spacing w:after="1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Tehniskā specifikācija – tehniskais piedāvājums, atbilstoši 1.pielikumam.   </w:t>
      </w:r>
    </w:p>
    <w:p w14:paraId="586B9242" w14:textId="77777777" w:rsidR="00A005CE" w:rsidRPr="00431D4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431D4E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431D4E" w:rsidRDefault="00A005CE" w:rsidP="00A005CE">
      <w:pPr>
        <w:pStyle w:val="Sarakstarindkopa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lastRenderedPageBreak/>
        <w:t>Finanšu piedāvājums, atbilstoši 3.pielikumam.</w:t>
      </w:r>
    </w:p>
    <w:p w14:paraId="34C7B0DC" w14:textId="77777777" w:rsidR="00B8505D" w:rsidRPr="00431D4E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29E87B74" w14:textId="3E49A0E5" w:rsidR="00225324" w:rsidRPr="00431D4E" w:rsidRDefault="005045ED" w:rsidP="0013207A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  <w:sectPr w:rsidR="00225324" w:rsidRPr="00431D4E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  <w:r w:rsidRPr="00431D4E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431D4E">
        <w:rPr>
          <w:rFonts w:ascii="Times New Roman" w:hAnsi="Times New Roman"/>
          <w:sz w:val="24"/>
          <w:szCs w:val="24"/>
        </w:rPr>
        <w:t>cenu aptaujas</w:t>
      </w:r>
      <w:r w:rsidRPr="00431D4E">
        <w:rPr>
          <w:rFonts w:ascii="Times New Roman" w:hAnsi="Times New Roman"/>
          <w:sz w:val="24"/>
          <w:szCs w:val="24"/>
        </w:rPr>
        <w:t xml:space="preserve"> noteikumiem.</w:t>
      </w:r>
    </w:p>
    <w:p w14:paraId="3F5CD609" w14:textId="77777777" w:rsidR="003816A8" w:rsidRPr="00431D4E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431D4E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Pr="00431D4E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6" w:name="_Hlk173491670"/>
      <w:r w:rsidRPr="00431D4E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6E606000" w14:textId="1C20257A" w:rsidR="0098018D" w:rsidRPr="00431D4E" w:rsidRDefault="0098018D" w:rsidP="0098018D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7" w:name="_Hlk204158102"/>
      <w:bookmarkEnd w:id="6"/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Aparatūra digitālā satura veidošan</w:t>
      </w:r>
      <w:r w:rsidR="0013271A"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ai</w:t>
      </w:r>
    </w:p>
    <w:p w14:paraId="024FE394" w14:textId="42E354CB" w:rsidR="0098018D" w:rsidRPr="00431D4E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BNP/CA/2025/</w:t>
      </w:r>
      <w:r w:rsidR="000410CB" w:rsidRPr="00431D4E">
        <w:rPr>
          <w:rFonts w:ascii="Times New Roman" w:eastAsia="Times New Roman" w:hAnsi="Times New Roman"/>
          <w:b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b/>
          <w:sz w:val="24"/>
          <w:szCs w:val="24"/>
        </w:rPr>
        <w:t>8</w:t>
      </w:r>
    </w:p>
    <w:bookmarkEnd w:id="7"/>
    <w:p w14:paraId="512E4FFA" w14:textId="77777777" w:rsidR="00A005CE" w:rsidRPr="00431D4E" w:rsidRDefault="00A005CE" w:rsidP="0098018D">
      <w:pPr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1419"/>
        <w:gridCol w:w="5244"/>
        <w:gridCol w:w="3402"/>
      </w:tblGrid>
      <w:tr w:rsidR="000D2461" w:rsidRPr="00431D4E" w14:paraId="0B2415B3" w14:textId="6A388BF4" w:rsidTr="0098018D">
        <w:tc>
          <w:tcPr>
            <w:tcW w:w="1419" w:type="dxa"/>
          </w:tcPr>
          <w:p w14:paraId="253E82AA" w14:textId="04DBA433" w:rsidR="000A4A7C" w:rsidRPr="00431D4E" w:rsidRDefault="000A4A7C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5244" w:type="dxa"/>
          </w:tcPr>
          <w:p w14:paraId="57CDBEF8" w14:textId="577DBA2A" w:rsidR="000A4A7C" w:rsidRPr="00431D4E" w:rsidRDefault="000A4A7C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3402" w:type="dxa"/>
          </w:tcPr>
          <w:p w14:paraId="79423CC0" w14:textId="77777777" w:rsidR="00A51886" w:rsidRPr="00431D4E" w:rsidRDefault="00A51886" w:rsidP="00A51886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Pretendenta tehniskais</w:t>
            </w:r>
          </w:p>
          <w:p w14:paraId="165DF638" w14:textId="7D219432" w:rsidR="000A4A7C" w:rsidRPr="00431D4E" w:rsidRDefault="00A51886" w:rsidP="00A51886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piedāvājums (apraksts), foto un interneta saite uz mājas lapu vai ražotāja datu lapu</w:t>
            </w:r>
          </w:p>
        </w:tc>
      </w:tr>
      <w:tr w:rsidR="000D2461" w:rsidRPr="00431D4E" w14:paraId="65F5BD5C" w14:textId="2DBB8F5F" w:rsidTr="0098018D">
        <w:tc>
          <w:tcPr>
            <w:tcW w:w="1419" w:type="dxa"/>
          </w:tcPr>
          <w:p w14:paraId="07061F93" w14:textId="68F891B2" w:rsidR="000A4A7C" w:rsidRPr="00431D4E" w:rsidRDefault="00EB29D0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Bezvadu piespraužams mikrofons</w:t>
            </w:r>
          </w:p>
        </w:tc>
        <w:tc>
          <w:tcPr>
            <w:tcW w:w="5244" w:type="dxa"/>
          </w:tcPr>
          <w:p w14:paraId="481E0E8C" w14:textId="379610C2" w:rsidR="00EB29D0" w:rsidRPr="00431D4E" w:rsidRDefault="000D2461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01283121" wp14:editId="7D9D63A3">
                  <wp:extent cx="1276985" cy="771375"/>
                  <wp:effectExtent l="0" t="0" r="0" b="0"/>
                  <wp:docPr id="103236955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69558" name=""/>
                          <pic:cNvPicPr/>
                        </pic:nvPicPr>
                        <pic:blipFill rotWithShape="1">
                          <a:blip r:embed="rId11"/>
                          <a:srcRect l="7146" t="25695" r="5883" b="21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970" cy="780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AC07C5" w14:textId="77777777" w:rsidR="000A4A7C" w:rsidRPr="00431D4E" w:rsidRDefault="00EB29D0" w:rsidP="00EB29D0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431D4E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(attēlam ilustratīva nozīme)</w:t>
            </w:r>
          </w:p>
          <w:p w14:paraId="74B51C6B" w14:textId="77777777" w:rsidR="0063027E" w:rsidRPr="00431D4E" w:rsidRDefault="00EB29D0" w:rsidP="002A4FD4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Divkanālu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bezvadu mikrofonu sistēma divu skaņas avotu ierakstīšanai </w:t>
            </w:r>
            <w:r w:rsidR="0063027E" w:rsidRPr="00431D4E">
              <w:rPr>
                <w:rFonts w:asciiTheme="majorBidi" w:hAnsiTheme="majorBidi" w:cstheme="majorBidi"/>
                <w:sz w:val="20"/>
                <w:szCs w:val="20"/>
              </w:rPr>
              <w:t>viedtālrunī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. Sastāv no </w:t>
            </w:r>
            <w:r w:rsidR="002A4FD4" w:rsidRPr="00431D4E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spellStart"/>
            <w:r w:rsidR="002A4FD4" w:rsidRPr="00431D4E">
              <w:rPr>
                <w:rFonts w:asciiTheme="majorBidi" w:hAnsiTheme="majorBidi" w:cstheme="majorBidi"/>
                <w:sz w:val="20"/>
                <w:szCs w:val="20"/>
              </w:rPr>
              <w:t>divkanālu</w:t>
            </w:r>
            <w:proofErr w:type="spellEnd"/>
            <w:r w:rsidR="002A4FD4"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uztvērēja un diviem raidītājiem. 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>Savietojama ar kamerām, mobilajām ierīcēm un datoriem.</w:t>
            </w:r>
          </w:p>
          <w:p w14:paraId="1679F9D4" w14:textId="491F22F5" w:rsidR="00EB29D0" w:rsidRPr="00431D4E" w:rsidRDefault="00EB29D0" w:rsidP="002A4FD4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Jutība: vismaz 1</w:t>
            </w:r>
            <w:r w:rsidR="0063027E" w:rsidRPr="00431D4E">
              <w:rPr>
                <w:rFonts w:asciiTheme="majorBidi" w:hAnsiTheme="majorBidi" w:cstheme="majorBidi"/>
                <w:sz w:val="20"/>
                <w:szCs w:val="20"/>
              </w:rPr>
              <w:t>35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dB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un frekvences diapazons vismaz 20 - 20000 Hz</w:t>
            </w:r>
          </w:p>
          <w:p w14:paraId="5C3D24DB" w14:textId="77777777" w:rsidR="0063027E" w:rsidRPr="00431D4E" w:rsidRDefault="0063027E" w:rsidP="0063027E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Mikrofona tips: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Omnidirekcionāls</w:t>
            </w:r>
            <w:proofErr w:type="spellEnd"/>
          </w:p>
          <w:p w14:paraId="2AB65CED" w14:textId="6D94B801" w:rsidR="0063027E" w:rsidRPr="00431D4E" w:rsidRDefault="0063027E" w:rsidP="0063027E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Pārraides Diapazons: vismaz 100m</w:t>
            </w:r>
          </w:p>
          <w:p w14:paraId="7C4CFEE8" w14:textId="7E2DCBE7" w:rsidR="0063027E" w:rsidRPr="00431D4E" w:rsidRDefault="00866599" w:rsidP="0063027E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Digitālā Savienojamība: USB-C (Bezvadu Mikrofons USB-C)</w:t>
            </w:r>
          </w:p>
          <w:p w14:paraId="0EE382D7" w14:textId="77777777" w:rsidR="0063027E" w:rsidRPr="00431D4E" w:rsidRDefault="00866599" w:rsidP="002A4FD4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Akumulatora darbība: vismaz 6 stundas</w:t>
            </w:r>
          </w:p>
          <w:p w14:paraId="02613332" w14:textId="214D642D" w:rsidR="00866599" w:rsidRPr="00431D4E" w:rsidRDefault="00866599" w:rsidP="002A4FD4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Komplektā vismaz: 1 uztvērējs un 2 mikrofoni ar iebūvētiem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vējsargiem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un 2 papildu </w:t>
            </w:r>
            <w:r w:rsidR="0075308C">
              <w:rPr>
                <w:rFonts w:asciiTheme="majorBidi" w:hAnsiTheme="majorBidi" w:cstheme="majorBidi"/>
                <w:sz w:val="20"/>
                <w:szCs w:val="20"/>
              </w:rPr>
              <w:t xml:space="preserve">pūkaini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vējsargi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lietošanai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ārtelpā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, uzlādes kārba ērtai mikrofonu un uztvērēja glabāšanai un lādēšanai,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Usb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>-C kabelis.</w:t>
            </w:r>
          </w:p>
        </w:tc>
        <w:tc>
          <w:tcPr>
            <w:tcW w:w="3402" w:type="dxa"/>
          </w:tcPr>
          <w:p w14:paraId="0F77FEDD" w14:textId="77777777" w:rsidR="000A4A7C" w:rsidRPr="00431D4E" w:rsidRDefault="000A4A7C" w:rsidP="00A005CE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461" w:rsidRPr="00431D4E" w14:paraId="430B004F" w14:textId="0979257A" w:rsidTr="0098018D">
        <w:tc>
          <w:tcPr>
            <w:tcW w:w="1419" w:type="dxa"/>
          </w:tcPr>
          <w:p w14:paraId="0213A795" w14:textId="77777777" w:rsidR="000A4A7C" w:rsidRPr="00431D4E" w:rsidRDefault="00EB29D0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Video stabilizators</w:t>
            </w:r>
          </w:p>
          <w:p w14:paraId="242538D6" w14:textId="40C70C28" w:rsidR="00EB29D0" w:rsidRPr="00431D4E" w:rsidRDefault="00EB29D0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36CBBE07" w14:textId="77777777" w:rsidR="000A4A7C" w:rsidRPr="00431D4E" w:rsidRDefault="00966C48" w:rsidP="00966C48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5973F7D5" wp14:editId="095E75F5">
                  <wp:extent cx="581989" cy="805217"/>
                  <wp:effectExtent l="0" t="0" r="8890" b="0"/>
                  <wp:docPr id="36247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47271" name=""/>
                          <pic:cNvPicPr/>
                        </pic:nvPicPr>
                        <pic:blipFill rotWithShape="1">
                          <a:blip r:embed="rId12"/>
                          <a:srcRect t="3959" r="4899" b="3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14" cy="815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45EA5C" w14:textId="77777777" w:rsidR="00966C48" w:rsidRPr="00431D4E" w:rsidRDefault="00966C48" w:rsidP="00966C48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431D4E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(attēlam ilustratīva nozīme)</w:t>
            </w:r>
          </w:p>
          <w:p w14:paraId="3504B5E9" w14:textId="77777777" w:rsidR="00966C48" w:rsidRPr="00431D4E" w:rsidRDefault="00966C48" w:rsidP="00966C48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Kompakts stabilizators, kas izstrādāts saturu veidotājiem, piedāvājot automātiskus as</w:t>
            </w:r>
            <w:r w:rsidR="00866599" w:rsidRPr="00431D4E">
              <w:rPr>
                <w:rFonts w:asciiTheme="majorBidi" w:hAnsiTheme="majorBidi" w:cstheme="majorBidi"/>
                <w:sz w:val="20"/>
                <w:szCs w:val="20"/>
              </w:rPr>
              <w:t>u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bloķē</w:t>
            </w:r>
            <w:r w:rsidR="00866599" w:rsidRPr="00431D4E">
              <w:rPr>
                <w:rFonts w:asciiTheme="majorBidi" w:hAnsiTheme="majorBidi" w:cstheme="majorBidi"/>
                <w:sz w:val="20"/>
                <w:szCs w:val="20"/>
              </w:rPr>
              <w:t>šanu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>, inteliģentu sekošanu un uzlabotu balansēšanu efektīvai filmēšanai. Paredzēts kamerām un viedtālruņiem.</w:t>
            </w:r>
          </w:p>
          <w:p w14:paraId="1A861547" w14:textId="77777777" w:rsidR="00D76A10" w:rsidRPr="00431D4E" w:rsidRDefault="00D76A10" w:rsidP="00966C48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Nepieciešamā funkcionalitāte: ātra bloķēšana, vertikālā režīma pārslēgšana, kameru un viedtālruņu atbalsts, bezvadu kontrole</w:t>
            </w:r>
          </w:p>
          <w:p w14:paraId="751214BA" w14:textId="77777777" w:rsidR="00866599" w:rsidRPr="00431D4E" w:rsidRDefault="00D76A10" w:rsidP="00966C48">
            <w:pPr>
              <w:pStyle w:val="Sarakstarindkopa"/>
              <w:spacing w:before="120" w:after="120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Slodzes jauda vismaz 2kg </w:t>
            </w:r>
          </w:p>
          <w:p w14:paraId="5B3BD733" w14:textId="48FE6B00" w:rsidR="00D76A10" w:rsidRPr="00431D4E" w:rsidRDefault="00D76A10" w:rsidP="00D76A10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Inteliģentās sekošanas modulis, kas nodrošina vismaz:</w:t>
            </w:r>
            <w:r w:rsidRPr="00431D4E">
              <w:t xml:space="preserve"> 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automātisku subjekta sekošanu dinamiskiem kadriem, magnētisku pievienošana ātrai uzstādīšanai,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Instant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sekošanas aktivizēšanu ar vienkāršu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izsitienu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vai roku žestu.</w:t>
            </w:r>
          </w:p>
          <w:p w14:paraId="0A7A415B" w14:textId="77777777" w:rsidR="00D76A10" w:rsidRPr="00431D4E" w:rsidRDefault="00D76A10" w:rsidP="00D76A10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Akumulatora darbības laiks vismaz 13 st.</w:t>
            </w:r>
          </w:p>
          <w:p w14:paraId="43021C78" w14:textId="098EAF86" w:rsidR="00D76A10" w:rsidRPr="00431D4E" w:rsidRDefault="00D76A10" w:rsidP="00D76A10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Svars ne lielāks par 900 gramiem</w:t>
            </w:r>
          </w:p>
        </w:tc>
        <w:tc>
          <w:tcPr>
            <w:tcW w:w="3402" w:type="dxa"/>
          </w:tcPr>
          <w:p w14:paraId="079F6DD9" w14:textId="77777777" w:rsidR="000A4A7C" w:rsidRPr="00431D4E" w:rsidRDefault="000A4A7C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461" w:rsidRPr="00431D4E" w14:paraId="3CA1E231" w14:textId="0A45DDF9" w:rsidTr="0098018D">
        <w:tc>
          <w:tcPr>
            <w:tcW w:w="1419" w:type="dxa"/>
          </w:tcPr>
          <w:p w14:paraId="4BC37245" w14:textId="2C596F5D" w:rsidR="000A4A7C" w:rsidRPr="00431D4E" w:rsidRDefault="00966C48" w:rsidP="00FB1CF6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Ārējais cietais disks</w:t>
            </w:r>
          </w:p>
        </w:tc>
        <w:tc>
          <w:tcPr>
            <w:tcW w:w="5244" w:type="dxa"/>
          </w:tcPr>
          <w:p w14:paraId="2E8BD3D3" w14:textId="77777777" w:rsidR="000A4A7C" w:rsidRPr="00431D4E" w:rsidRDefault="00966C48" w:rsidP="007E506F">
            <w:pPr>
              <w:pStyle w:val="Sarakstarindkopa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Diska ietilpība vismaz 5 TB.</w:t>
            </w:r>
          </w:p>
          <w:p w14:paraId="0FC3B328" w14:textId="1EA7EC69" w:rsidR="007E506F" w:rsidRPr="00431D4E" w:rsidRDefault="007E506F" w:rsidP="007E506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Savienojamība: vismaz USB 3.2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Gen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1, USB 2.0</w:t>
            </w:r>
          </w:p>
          <w:p w14:paraId="61BCC48B" w14:textId="68B8D629" w:rsidR="007E506F" w:rsidRPr="00431D4E" w:rsidRDefault="007E506F" w:rsidP="007E506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Datu pārraides ātrums: </w:t>
            </w:r>
            <w:r w:rsidR="00F7705D" w:rsidRPr="00431D4E">
              <w:rPr>
                <w:rFonts w:asciiTheme="majorBidi" w:hAnsiTheme="majorBidi" w:cstheme="majorBidi"/>
                <w:sz w:val="20"/>
                <w:szCs w:val="20"/>
              </w:rPr>
              <w:t>vismaz</w:t>
            </w: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5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Gb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>/s</w:t>
            </w:r>
          </w:p>
          <w:p w14:paraId="21CCFF7C" w14:textId="15FCBF22" w:rsidR="007E506F" w:rsidRPr="00431D4E" w:rsidRDefault="007E506F" w:rsidP="007E506F">
            <w:pPr>
              <w:pStyle w:val="Sarakstarindkopa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Garantija: vismaz 3 gadu garantija</w:t>
            </w:r>
          </w:p>
          <w:p w14:paraId="5071FC9B" w14:textId="451CEB6B" w:rsidR="007E506F" w:rsidRPr="00431D4E" w:rsidRDefault="007E506F" w:rsidP="007E506F">
            <w:pPr>
              <w:pStyle w:val="Sarakstarindkopa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Darbības temperatūra: vismaz 5°C līdz 35°C</w:t>
            </w:r>
          </w:p>
          <w:p w14:paraId="2403B0C9" w14:textId="018034AD" w:rsidR="00966C48" w:rsidRPr="00431D4E" w:rsidRDefault="007E506F" w:rsidP="007E506F">
            <w:pPr>
              <w:pStyle w:val="Sarakstarindkopa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Sertifikāti: FCC-ICES, CE, BSMI, RCM, VCCI, EAC, UKCA</w:t>
            </w:r>
          </w:p>
        </w:tc>
        <w:tc>
          <w:tcPr>
            <w:tcW w:w="3402" w:type="dxa"/>
          </w:tcPr>
          <w:p w14:paraId="35615F84" w14:textId="77777777" w:rsidR="000A4A7C" w:rsidRPr="00431D4E" w:rsidRDefault="000A4A7C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461" w:rsidRPr="00431D4E" w14:paraId="4A40563F" w14:textId="739A1E6C" w:rsidTr="0098018D">
        <w:tc>
          <w:tcPr>
            <w:tcW w:w="1419" w:type="dxa"/>
          </w:tcPr>
          <w:p w14:paraId="1B5744EE" w14:textId="57D911B0" w:rsidR="000A4A7C" w:rsidRPr="00431D4E" w:rsidRDefault="00966C48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Podkāstu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 un Live straumēšanas komplekts</w:t>
            </w:r>
          </w:p>
        </w:tc>
        <w:tc>
          <w:tcPr>
            <w:tcW w:w="5244" w:type="dxa"/>
          </w:tcPr>
          <w:p w14:paraId="2FD9A058" w14:textId="77777777" w:rsidR="000A4A7C" w:rsidRPr="00431D4E" w:rsidRDefault="00966C48" w:rsidP="0098018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73D7A818" wp14:editId="53AC1AA9">
                  <wp:extent cx="840105" cy="557906"/>
                  <wp:effectExtent l="0" t="0" r="0" b="0"/>
                  <wp:docPr id="7761365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136542" name=""/>
                          <pic:cNvPicPr/>
                        </pic:nvPicPr>
                        <pic:blipFill rotWithShape="1">
                          <a:blip r:embed="rId13"/>
                          <a:srcRect l="-1" t="11699" r="-12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22" cy="568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728934" w14:textId="475491A0" w:rsidR="0098018D" w:rsidRPr="00431D4E" w:rsidRDefault="00966C48" w:rsidP="0098018D">
            <w:pPr>
              <w:pStyle w:val="Sarakstarindkopa"/>
              <w:spacing w:before="120" w:after="120"/>
              <w:ind w:left="0"/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431D4E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(attēlam ilustratīva nozīme)</w:t>
            </w:r>
          </w:p>
          <w:p w14:paraId="23F50E0A" w14:textId="77777777" w:rsidR="0098018D" w:rsidRPr="00431D4E" w:rsidRDefault="0098018D" w:rsidP="0098018D">
            <w:pPr>
              <w:spacing w:before="120" w:after="12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Savietojama ar viedtālruņiem, planšetdatoriem un datoriem. Austiņu reālā laika monitorings ar vienlaicīgu klausīšanos un ierakstu. Fona trokšņu un apkārtējās vides skaņu samazināšana. Atbalsta divu vai vairāku mikrofonu pieslēgšanu vienlaikus.</w:t>
            </w:r>
          </w:p>
          <w:p w14:paraId="21E47385" w14:textId="658A0962" w:rsidR="0098018D" w:rsidRPr="00431D4E" w:rsidRDefault="0098018D" w:rsidP="0098018D">
            <w:pPr>
              <w:spacing w:before="120" w:after="1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Datu pārraide: USB-C;</w:t>
            </w:r>
          </w:p>
          <w:p w14:paraId="44AF3134" w14:textId="77777777" w:rsidR="0098018D" w:rsidRPr="00431D4E" w:rsidRDefault="0098018D" w:rsidP="0098018D">
            <w:pPr>
              <w:spacing w:before="120" w:after="1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Akumulatora ietilpība: vismaz 1200 </w:t>
            </w:r>
            <w:proofErr w:type="spellStart"/>
            <w:r w:rsidRPr="00431D4E">
              <w:rPr>
                <w:rFonts w:asciiTheme="majorBidi" w:hAnsiTheme="majorBidi" w:cstheme="majorBidi"/>
                <w:sz w:val="20"/>
                <w:szCs w:val="20"/>
              </w:rPr>
              <w:t>mAh</w:t>
            </w:r>
            <w:proofErr w:type="spellEnd"/>
            <w:r w:rsidRPr="00431D4E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14:paraId="3FC5BE19" w14:textId="77777777" w:rsidR="0098018D" w:rsidRPr="00431D4E" w:rsidRDefault="0098018D" w:rsidP="0098018D">
            <w:pPr>
              <w:spacing w:before="120" w:after="1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Darbības laiks: ne mazāk kā 8 stundas .</w:t>
            </w:r>
          </w:p>
          <w:p w14:paraId="7DFC11B5" w14:textId="6FD9F887" w:rsidR="00D76A10" w:rsidRPr="00431D4E" w:rsidRDefault="00D76A10" w:rsidP="0098018D">
            <w:pPr>
              <w:spacing w:before="120" w:after="1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Komplektā vismaz: </w:t>
            </w:r>
            <w:r w:rsidR="007E506F"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1 mikrofons, 1 XLR to 3.5mm kabelis, 1 mikrofona statīvs, 1 skaņas </w:t>
            </w:r>
            <w:proofErr w:type="spellStart"/>
            <w:r w:rsidR="007E506F" w:rsidRPr="00431D4E">
              <w:rPr>
                <w:rFonts w:asciiTheme="majorBidi" w:hAnsiTheme="majorBidi" w:cstheme="majorBidi"/>
                <w:sz w:val="20"/>
                <w:szCs w:val="20"/>
              </w:rPr>
              <w:t>mikserpults</w:t>
            </w:r>
            <w:proofErr w:type="spellEnd"/>
            <w:r w:rsidR="007E506F"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, 1 uzlādes kabelis, 3.5mm </w:t>
            </w:r>
            <w:proofErr w:type="spellStart"/>
            <w:r w:rsidR="007E506F" w:rsidRPr="00431D4E">
              <w:rPr>
                <w:rFonts w:asciiTheme="majorBidi" w:hAnsiTheme="majorBidi" w:cstheme="majorBidi"/>
                <w:sz w:val="20"/>
                <w:szCs w:val="20"/>
              </w:rPr>
              <w:t>audiokabelis</w:t>
            </w:r>
            <w:proofErr w:type="spellEnd"/>
            <w:r w:rsidR="007E506F" w:rsidRPr="00431D4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</w:tc>
        <w:tc>
          <w:tcPr>
            <w:tcW w:w="3402" w:type="dxa"/>
          </w:tcPr>
          <w:p w14:paraId="7A8DFC68" w14:textId="77777777" w:rsidR="000A4A7C" w:rsidRPr="00431D4E" w:rsidRDefault="000A4A7C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D2461" w:rsidRPr="00431D4E" w14:paraId="5DF5E644" w14:textId="77777777" w:rsidTr="0098018D">
        <w:tc>
          <w:tcPr>
            <w:tcW w:w="1419" w:type="dxa"/>
          </w:tcPr>
          <w:p w14:paraId="4AC372B8" w14:textId="77777777" w:rsidR="0098018D" w:rsidRPr="00431D4E" w:rsidRDefault="0098018D" w:rsidP="0098018D">
            <w:pPr>
              <w:spacing w:before="120"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sz w:val="20"/>
                <w:szCs w:val="20"/>
              </w:rPr>
              <w:t>Atmiņas karte</w:t>
            </w:r>
          </w:p>
          <w:p w14:paraId="4302F49B" w14:textId="77777777" w:rsidR="0098018D" w:rsidRPr="00431D4E" w:rsidRDefault="0098018D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44" w:type="dxa"/>
          </w:tcPr>
          <w:p w14:paraId="536A7054" w14:textId="77777777" w:rsidR="00F7705D" w:rsidRPr="00431D4E" w:rsidRDefault="0098018D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Atmiņas kartes tips: Micro SDXC. </w:t>
            </w:r>
          </w:p>
          <w:p w14:paraId="60EEAA0D" w14:textId="77777777" w:rsidR="00F7705D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Interfeiss </w:t>
            </w:r>
            <w:proofErr w:type="spellStart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PCIe</w:t>
            </w:r>
            <w:proofErr w:type="spellEnd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Gen</w:t>
            </w:r>
            <w:proofErr w:type="spellEnd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3 </w:t>
            </w:r>
          </w:p>
          <w:p w14:paraId="3C4E587D" w14:textId="35643915" w:rsidR="00D51DF1" w:rsidRPr="00431D4E" w:rsidRDefault="0098018D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Atmiņas ietilpība:</w:t>
            </w:r>
            <w:r w:rsidR="007E506F"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vismaz</w:t>
            </w: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128 GB. </w:t>
            </w:r>
          </w:p>
          <w:p w14:paraId="7BC17D98" w14:textId="03EA72D5" w:rsidR="00D51DF1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Lineārā lasīšanas veiktspēja: </w:t>
            </w:r>
            <w:r w:rsidR="00F7705D"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vismaz</w:t>
            </w: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880 MB/s</w:t>
            </w:r>
          </w:p>
          <w:p w14:paraId="48FC2F86" w14:textId="31C8A3EC" w:rsidR="00D51DF1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Lineārā rakstīšanas veiktspēja: vismaz 480 </w:t>
            </w:r>
            <w:proofErr w:type="spellStart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Mb</w:t>
            </w:r>
            <w:proofErr w:type="spellEnd"/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/s</w:t>
            </w:r>
          </w:p>
          <w:p w14:paraId="0DB7F289" w14:textId="729D0989" w:rsidR="00D51DF1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Ātruma klase:  vismaz U3, A1</w:t>
            </w:r>
          </w:p>
          <w:p w14:paraId="64E036DA" w14:textId="6A1F6334" w:rsidR="00D51DF1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Garantija: </w:t>
            </w:r>
            <w:r w:rsidR="00F7705D"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vismaz 3 gadu</w:t>
            </w: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garantija</w:t>
            </w:r>
          </w:p>
          <w:p w14:paraId="636EAEDB" w14:textId="1B3EBFB3" w:rsidR="0098018D" w:rsidRPr="00431D4E" w:rsidRDefault="00D51DF1" w:rsidP="00D51DF1">
            <w:pPr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Papildus īpaš</w:t>
            </w:r>
            <w:r w:rsid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ī</w:t>
            </w: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bas: ūdens</w:t>
            </w:r>
            <w:r w:rsid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431D4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izturība, izturība pret temperatūras svārstībām, triecienizturība, izturība pret magnētisko iedarbību, izturība pret rentgena starojumu un nodilumizturība.</w:t>
            </w:r>
          </w:p>
        </w:tc>
        <w:tc>
          <w:tcPr>
            <w:tcW w:w="3402" w:type="dxa"/>
          </w:tcPr>
          <w:p w14:paraId="2836EB84" w14:textId="77777777" w:rsidR="0098018D" w:rsidRPr="00431D4E" w:rsidRDefault="0098018D" w:rsidP="00FB1CF6">
            <w:pPr>
              <w:pStyle w:val="Sarakstarindkopa"/>
              <w:spacing w:before="120" w:after="120"/>
              <w:ind w:left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E81DEF8" w14:textId="77777777" w:rsidR="00A005CE" w:rsidRPr="00431D4E" w:rsidRDefault="00A005CE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292B5" w14:textId="77777777" w:rsidR="00B64DBD" w:rsidRPr="00431D4E" w:rsidRDefault="00B64DBD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4C6C920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A0B170E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42BC3E8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F6FA01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9AB9F6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F3F833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368B2E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252534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8A8C893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CB9571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1C2C7E6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CDF535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EA24DA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C78600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E9A9BB1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FA9BE50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2ECD6F0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B44B6A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83837E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0FE695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7E71AAA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CC4F0C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F7FAF7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1DAD3B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9C67952" w14:textId="77777777" w:rsidR="00CE4BDA" w:rsidRPr="00431D4E" w:rsidRDefault="00CE4BD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6434B1B" w14:textId="77777777" w:rsidR="0013207A" w:rsidRPr="00431D4E" w:rsidRDefault="0013207A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6DAAECFD" w:rsidR="00A008F2" w:rsidRPr="00431D4E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431D4E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431D4E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8" w:name="_Hlk173492013"/>
      <w:r w:rsidRPr="00431D4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431D4E">
        <w:rPr>
          <w:rFonts w:ascii="Times New Roman" w:hAnsi="Times New Roman"/>
          <w:b/>
          <w:bCs/>
          <w:sz w:val="28"/>
          <w:szCs w:val="28"/>
        </w:rPr>
        <w:t>CENU APTAUJĀ</w:t>
      </w:r>
      <w:r w:rsidRPr="00431D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8"/>
    <w:p w14:paraId="53EAA0D5" w14:textId="7EFCCCEA" w:rsidR="0098018D" w:rsidRPr="00431D4E" w:rsidRDefault="0098018D" w:rsidP="0098018D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Aparatūra digitālā satura veidošan</w:t>
      </w:r>
      <w:r w:rsidR="0013271A"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ai</w:t>
      </w:r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</w:p>
    <w:p w14:paraId="6B28F613" w14:textId="6C8EA62B" w:rsidR="0098018D" w:rsidRPr="00431D4E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BNP/CA/2025/</w:t>
      </w:r>
      <w:r w:rsidR="000410CB" w:rsidRPr="00431D4E">
        <w:rPr>
          <w:rFonts w:ascii="Times New Roman" w:eastAsia="Times New Roman" w:hAnsi="Times New Roman"/>
          <w:b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01CBFDAD" w14:textId="77777777" w:rsidR="009E56C3" w:rsidRPr="00431D4E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431D4E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431D4E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(</w:t>
            </w:r>
            <w:r w:rsidRPr="00431D4E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31D4E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431D4E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431D4E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431D4E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431D4E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431D4E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431D4E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31D4E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431D4E">
        <w:rPr>
          <w:rFonts w:ascii="Times New Roman" w:eastAsia="Times New Roman" w:hAnsi="Times New Roman"/>
          <w:sz w:val="24"/>
          <w:szCs w:val="24"/>
        </w:rPr>
        <w:t>cenu aptaujā</w:t>
      </w:r>
      <w:r w:rsidRPr="00431D4E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431D4E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431D4E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431D4E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431D4E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431D4E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431D4E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431D4E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431D4E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431D4E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431D4E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431D4E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431D4E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678BDED3" w:rsidR="0092630B" w:rsidRPr="00431D4E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31D4E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431D4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431D4E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431D4E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1D753562" w14:textId="5256F65C" w:rsidR="0098018D" w:rsidRPr="00431D4E" w:rsidRDefault="0098018D" w:rsidP="0098018D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Aparatūra digitālā satura veidošan</w:t>
      </w:r>
      <w:r w:rsidR="0013271A"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>ai</w:t>
      </w:r>
      <w:r w:rsidRPr="00431D4E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</w:p>
    <w:p w14:paraId="348DBB75" w14:textId="39BEFCEA" w:rsidR="0098018D" w:rsidRPr="00431D4E" w:rsidRDefault="0098018D" w:rsidP="0098018D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31D4E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431D4E">
        <w:rPr>
          <w:rFonts w:ascii="Times New Roman" w:eastAsia="Times New Roman" w:hAnsi="Times New Roman"/>
          <w:b/>
          <w:sz w:val="24"/>
          <w:szCs w:val="24"/>
        </w:rPr>
        <w:t>Nr. BNP/CA/2025/</w:t>
      </w:r>
      <w:r w:rsidR="000410CB" w:rsidRPr="00431D4E">
        <w:rPr>
          <w:rFonts w:ascii="Times New Roman" w:eastAsia="Times New Roman" w:hAnsi="Times New Roman"/>
          <w:b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4D73BDF8" w14:textId="77777777" w:rsidR="003A63F3" w:rsidRPr="00431D4E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431D4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431D4E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431D4E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431D4E">
        <w:rPr>
          <w:sz w:val="24"/>
          <w:shd w:val="clear" w:color="auto" w:fill="FFFFFF"/>
          <w:lang w:val="lv-LV"/>
        </w:rPr>
        <w:t>Reģ</w:t>
      </w:r>
      <w:proofErr w:type="spellEnd"/>
      <w:r w:rsidRPr="00431D4E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431D4E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746DC7B3" w:rsidR="00255724" w:rsidRPr="00431D4E" w:rsidRDefault="0092630B" w:rsidP="003816A8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31D4E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431D4E">
        <w:rPr>
          <w:rFonts w:ascii="Times New Roman" w:hAnsi="Times New Roman"/>
          <w:sz w:val="24"/>
          <w:szCs w:val="24"/>
        </w:rPr>
        <w:t>cenu aptaujas</w:t>
      </w:r>
      <w:r w:rsidR="00F129A7" w:rsidRPr="00431D4E">
        <w:rPr>
          <w:rFonts w:ascii="Times New Roman" w:hAnsi="Times New Roman"/>
          <w:sz w:val="24"/>
          <w:szCs w:val="24"/>
        </w:rPr>
        <w:t xml:space="preserve"> 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>“</w:t>
      </w:r>
      <w:r w:rsidR="0098018D" w:rsidRPr="00431D4E">
        <w:rPr>
          <w:rFonts w:ascii="Times New Roman" w:hAnsi="Times New Roman"/>
          <w:b/>
          <w:bCs/>
          <w:sz w:val="24"/>
          <w:szCs w:val="24"/>
        </w:rPr>
        <w:t>Aparatūra digitālā satura veidošan</w:t>
      </w:r>
      <w:r w:rsidR="0013271A" w:rsidRPr="00431D4E">
        <w:rPr>
          <w:rFonts w:ascii="Times New Roman" w:hAnsi="Times New Roman"/>
          <w:b/>
          <w:bCs/>
          <w:sz w:val="24"/>
          <w:szCs w:val="24"/>
        </w:rPr>
        <w:t>ai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431D4E">
        <w:rPr>
          <w:rFonts w:ascii="Times New Roman" w:hAnsi="Times New Roman"/>
          <w:sz w:val="24"/>
          <w:szCs w:val="24"/>
        </w:rPr>
        <w:t>identifikācijas numurs</w:t>
      </w:r>
      <w:r w:rsidR="004C725F" w:rsidRPr="00431D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16A8" w:rsidRPr="00431D4E">
        <w:rPr>
          <w:rFonts w:ascii="Times New Roman" w:hAnsi="Times New Roman"/>
          <w:b/>
          <w:bCs/>
          <w:sz w:val="24"/>
          <w:szCs w:val="24"/>
        </w:rPr>
        <w:t>BNP/CA/2025/</w:t>
      </w:r>
      <w:r w:rsidR="000410CB" w:rsidRPr="00431D4E">
        <w:rPr>
          <w:rFonts w:ascii="Times New Roman" w:eastAsia="Times New Roman" w:hAnsi="Times New Roman"/>
          <w:b/>
          <w:sz w:val="24"/>
          <w:szCs w:val="24"/>
        </w:rPr>
        <w:t>16</w:t>
      </w:r>
      <w:r w:rsidR="003E70A3" w:rsidRPr="00431D4E">
        <w:rPr>
          <w:rFonts w:ascii="Times New Roman" w:eastAsia="Times New Roman" w:hAnsi="Times New Roman"/>
          <w:b/>
          <w:sz w:val="24"/>
          <w:szCs w:val="24"/>
        </w:rPr>
        <w:t>8</w:t>
      </w:r>
      <w:r w:rsidR="003816A8" w:rsidRPr="00431D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1D4E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431D4E">
        <w:rPr>
          <w:rFonts w:ascii="Times New Roman" w:hAnsi="Times New Roman"/>
          <w:sz w:val="24"/>
          <w:szCs w:val="24"/>
        </w:rPr>
        <w:t>Tehnisko specifikāciju</w:t>
      </w:r>
      <w:r w:rsidRPr="00431D4E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9" w:name="_Hlk173497738"/>
    </w:p>
    <w:p w14:paraId="2FBA0527" w14:textId="77777777" w:rsidR="003A63F3" w:rsidRPr="00431D4E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82"/>
        <w:gridCol w:w="1310"/>
        <w:gridCol w:w="1313"/>
        <w:gridCol w:w="1155"/>
        <w:gridCol w:w="2145"/>
      </w:tblGrid>
      <w:tr w:rsidR="00D64E36" w:rsidRPr="00431D4E" w14:paraId="3EBA03BC" w14:textId="1721BAC9" w:rsidTr="00D64E36">
        <w:tc>
          <w:tcPr>
            <w:tcW w:w="307" w:type="pct"/>
            <w:shd w:val="clear" w:color="auto" w:fill="D9D9D9"/>
            <w:vAlign w:val="center"/>
          </w:tcPr>
          <w:bookmarkEnd w:id="9"/>
          <w:p w14:paraId="4CBC7A8D" w14:textId="0C1EFE84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490" w:type="pct"/>
            <w:shd w:val="clear" w:color="auto" w:fill="D9D9D9"/>
            <w:vAlign w:val="center"/>
          </w:tcPr>
          <w:p w14:paraId="456B416E" w14:textId="350356EB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sz w:val="24"/>
                <w:szCs w:val="24"/>
              </w:rPr>
              <w:t>Preces nosaukums</w:t>
            </w:r>
          </w:p>
        </w:tc>
        <w:tc>
          <w:tcPr>
            <w:tcW w:w="464" w:type="pct"/>
            <w:shd w:val="clear" w:color="auto" w:fill="D9D9D9"/>
            <w:vAlign w:val="center"/>
          </w:tcPr>
          <w:p w14:paraId="27B10796" w14:textId="36DFCE56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789" w:type="pct"/>
            <w:shd w:val="clear" w:color="auto" w:fill="D9D9D9"/>
            <w:vAlign w:val="center"/>
          </w:tcPr>
          <w:p w14:paraId="3569E200" w14:textId="1C16D73C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D64E36" w:rsidRPr="00431D4E" w:rsidRDefault="00D64E36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14:paraId="45244F16" w14:textId="2DF2D3DA" w:rsidR="00D64E36" w:rsidRPr="00431D4E" w:rsidRDefault="00D64E36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/>
                <w:sz w:val="24"/>
                <w:szCs w:val="24"/>
              </w:rPr>
              <w:t>PVN __ %, EUR*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5B419FB" w14:textId="378D5C8D" w:rsidR="00D64E36" w:rsidRPr="00431D4E" w:rsidRDefault="00D64E36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D64E36" w:rsidRPr="00431D4E" w:rsidRDefault="00D64E36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D4E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D64E36" w:rsidRPr="00431D4E" w14:paraId="78F22FEA" w14:textId="2C959791" w:rsidTr="00D64E36">
        <w:tc>
          <w:tcPr>
            <w:tcW w:w="307" w:type="pct"/>
          </w:tcPr>
          <w:p w14:paraId="012E16EC" w14:textId="77777777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490" w:type="pct"/>
            <w:vAlign w:val="center"/>
          </w:tcPr>
          <w:p w14:paraId="79D4EF6D" w14:textId="28B58CC2" w:rsidR="00D64E36" w:rsidRPr="00431D4E" w:rsidRDefault="00D64E36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Bezvadu piespraužams mikrofon</w:t>
            </w:r>
            <w:r w:rsidR="00102A8C" w:rsidRPr="00431D4E">
              <w:rPr>
                <w:rFonts w:ascii="Times New Roman" w:hAnsi="Times New Roman"/>
                <w:sz w:val="24"/>
                <w:szCs w:val="24"/>
              </w:rPr>
              <w:t>a komplekts</w:t>
            </w:r>
          </w:p>
        </w:tc>
        <w:tc>
          <w:tcPr>
            <w:tcW w:w="464" w:type="pct"/>
          </w:tcPr>
          <w:p w14:paraId="459FCA74" w14:textId="3BC7DE5C" w:rsidR="00D64E36" w:rsidRPr="00431D4E" w:rsidRDefault="00102A8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64E36" w:rsidRPr="00431D4E">
              <w:rPr>
                <w:rFonts w:asciiTheme="majorBidi" w:hAnsiTheme="majorBidi" w:cstheme="majorBidi"/>
                <w:sz w:val="24"/>
                <w:szCs w:val="24"/>
              </w:rPr>
              <w:t xml:space="preserve"> gab.</w:t>
            </w:r>
          </w:p>
        </w:tc>
        <w:tc>
          <w:tcPr>
            <w:tcW w:w="789" w:type="pct"/>
          </w:tcPr>
          <w:p w14:paraId="1DBC8D52" w14:textId="4D7CBE5D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" w:type="pct"/>
          </w:tcPr>
          <w:p w14:paraId="5C6BEB6C" w14:textId="11CEC46F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1E45CC9" w14:textId="1CFACBDF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0B20F4FD" w14:textId="77777777" w:rsidTr="00D64E36">
        <w:tc>
          <w:tcPr>
            <w:tcW w:w="307" w:type="pct"/>
          </w:tcPr>
          <w:p w14:paraId="7CD6CC58" w14:textId="500D651C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490" w:type="pct"/>
            <w:vAlign w:val="center"/>
          </w:tcPr>
          <w:p w14:paraId="576A5383" w14:textId="492A8916" w:rsidR="00D64E36" w:rsidRPr="00431D4E" w:rsidRDefault="00D64E36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Video stabilizators</w:t>
            </w:r>
          </w:p>
        </w:tc>
        <w:tc>
          <w:tcPr>
            <w:tcW w:w="464" w:type="pct"/>
          </w:tcPr>
          <w:p w14:paraId="2512B90F" w14:textId="5BD2CA4F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789" w:type="pct"/>
          </w:tcPr>
          <w:p w14:paraId="5A524093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" w:type="pct"/>
          </w:tcPr>
          <w:p w14:paraId="5976ACAE" w14:textId="4452A29A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20843639" w14:textId="33337E0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6644675C" w14:textId="77777777" w:rsidTr="00D64E36">
        <w:tc>
          <w:tcPr>
            <w:tcW w:w="307" w:type="pct"/>
          </w:tcPr>
          <w:p w14:paraId="712E2BF5" w14:textId="12AB7BCA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490" w:type="pct"/>
            <w:vAlign w:val="center"/>
          </w:tcPr>
          <w:p w14:paraId="135953D0" w14:textId="0835AA93" w:rsidR="00D64E36" w:rsidRPr="00431D4E" w:rsidRDefault="00D64E36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Ārējais cietais disks</w:t>
            </w:r>
          </w:p>
        </w:tc>
        <w:tc>
          <w:tcPr>
            <w:tcW w:w="464" w:type="pct"/>
          </w:tcPr>
          <w:p w14:paraId="64F10523" w14:textId="22E6F842" w:rsidR="00D64E36" w:rsidRPr="00431D4E" w:rsidRDefault="00102A8C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64E36" w:rsidRPr="00431D4E">
              <w:rPr>
                <w:rFonts w:asciiTheme="majorBidi" w:hAnsiTheme="majorBidi" w:cstheme="majorBidi"/>
                <w:sz w:val="24"/>
                <w:szCs w:val="24"/>
              </w:rPr>
              <w:t xml:space="preserve"> gab.</w:t>
            </w:r>
          </w:p>
        </w:tc>
        <w:tc>
          <w:tcPr>
            <w:tcW w:w="789" w:type="pct"/>
          </w:tcPr>
          <w:p w14:paraId="0D5F00DC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" w:type="pct"/>
          </w:tcPr>
          <w:p w14:paraId="717DE761" w14:textId="3134C45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10B0B60A" w14:textId="38CB7CC2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48A1FA25" w14:textId="77777777" w:rsidTr="00D64E36">
        <w:tc>
          <w:tcPr>
            <w:tcW w:w="307" w:type="pct"/>
          </w:tcPr>
          <w:p w14:paraId="6904A1DA" w14:textId="625FD0D7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490" w:type="pct"/>
            <w:vAlign w:val="center"/>
          </w:tcPr>
          <w:p w14:paraId="71C21703" w14:textId="0F63AD32" w:rsidR="00D64E36" w:rsidRPr="00431D4E" w:rsidRDefault="00D64E36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D4E">
              <w:rPr>
                <w:rFonts w:ascii="Times New Roman" w:hAnsi="Times New Roman"/>
                <w:sz w:val="24"/>
                <w:szCs w:val="24"/>
              </w:rPr>
              <w:t>Podkāstu</w:t>
            </w:r>
            <w:proofErr w:type="spellEnd"/>
            <w:r w:rsidRPr="00431D4E">
              <w:rPr>
                <w:rFonts w:ascii="Times New Roman" w:hAnsi="Times New Roman"/>
                <w:sz w:val="24"/>
                <w:szCs w:val="24"/>
              </w:rPr>
              <w:t xml:space="preserve"> un Live straumēšanas komplekts</w:t>
            </w:r>
          </w:p>
        </w:tc>
        <w:tc>
          <w:tcPr>
            <w:tcW w:w="464" w:type="pct"/>
          </w:tcPr>
          <w:p w14:paraId="3DF9C0BB" w14:textId="0D996A41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789" w:type="pct"/>
          </w:tcPr>
          <w:p w14:paraId="31639C7A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" w:type="pct"/>
          </w:tcPr>
          <w:p w14:paraId="7155D62E" w14:textId="505D01A4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5576C64A" w14:textId="06226A54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59C9D6EA" w14:textId="77777777" w:rsidTr="00D64E36">
        <w:tc>
          <w:tcPr>
            <w:tcW w:w="307" w:type="pct"/>
          </w:tcPr>
          <w:p w14:paraId="32A96D39" w14:textId="458EB595" w:rsidR="00D64E36" w:rsidRPr="00431D4E" w:rsidRDefault="00D64E36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490" w:type="pct"/>
            <w:vAlign w:val="center"/>
          </w:tcPr>
          <w:p w14:paraId="28CFFDEC" w14:textId="6AA23E0D" w:rsidR="00D64E36" w:rsidRPr="00431D4E" w:rsidRDefault="00D64E36" w:rsidP="004C725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31D4E">
              <w:rPr>
                <w:rFonts w:ascii="Times New Roman" w:hAnsi="Times New Roman"/>
                <w:sz w:val="24"/>
                <w:szCs w:val="24"/>
              </w:rPr>
              <w:t>Atmiņas karte 128 GB</w:t>
            </w:r>
          </w:p>
        </w:tc>
        <w:tc>
          <w:tcPr>
            <w:tcW w:w="464" w:type="pct"/>
          </w:tcPr>
          <w:p w14:paraId="4E4D14E2" w14:textId="518DEA8C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sz w:val="24"/>
                <w:szCs w:val="24"/>
              </w:rPr>
              <w:t>1 gab.</w:t>
            </w:r>
          </w:p>
        </w:tc>
        <w:tc>
          <w:tcPr>
            <w:tcW w:w="789" w:type="pct"/>
          </w:tcPr>
          <w:p w14:paraId="7E270D3F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" w:type="pct"/>
          </w:tcPr>
          <w:p w14:paraId="67B67E95" w14:textId="1B14C7B9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3B342059" w14:textId="05068F5C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565D1F92" w14:textId="77777777" w:rsidTr="00D64E36">
        <w:tc>
          <w:tcPr>
            <w:tcW w:w="3050" w:type="pct"/>
            <w:gridSpan w:val="4"/>
          </w:tcPr>
          <w:p w14:paraId="75EB6BEA" w14:textId="28927F00" w:rsidR="00D64E36" w:rsidRPr="00431D4E" w:rsidRDefault="00D64E36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702" w:type="pct"/>
          </w:tcPr>
          <w:p w14:paraId="5D324907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397EC9D" w14:textId="5F2302E1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64E36" w:rsidRPr="00431D4E" w14:paraId="73432F2A" w14:textId="77777777" w:rsidTr="00D64E36">
        <w:tc>
          <w:tcPr>
            <w:tcW w:w="3050" w:type="pct"/>
            <w:gridSpan w:val="4"/>
          </w:tcPr>
          <w:p w14:paraId="09B0FD04" w14:textId="197272D9" w:rsidR="00D64E36" w:rsidRPr="00431D4E" w:rsidRDefault="00D64E36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31D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702" w:type="pct"/>
          </w:tcPr>
          <w:p w14:paraId="463017CB" w14:textId="77777777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65E73E05" w14:textId="6D2882D5" w:rsidR="00D64E36" w:rsidRPr="00431D4E" w:rsidRDefault="00D64E36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431D4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431D4E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431D4E" w:rsidRDefault="00901571" w:rsidP="00901571">
      <w:pPr>
        <w:spacing w:before="120" w:after="200"/>
        <w:jc w:val="left"/>
      </w:pPr>
      <w:r w:rsidRPr="00431D4E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431D4E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31D4E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431D4E">
        <w:t xml:space="preserve"> </w:t>
      </w:r>
      <w:r w:rsidRPr="00431D4E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431D4E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431D4E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431D4E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431D4E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31D4E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431D4E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431D4E" w:rsidRDefault="00901571" w:rsidP="00901571">
      <w:pPr>
        <w:spacing w:after="120" w:line="360" w:lineRule="auto"/>
        <w:jc w:val="both"/>
      </w:pPr>
    </w:p>
    <w:p w14:paraId="623C0B34" w14:textId="77777777" w:rsidR="00901571" w:rsidRPr="00431D4E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Pr="00431D4E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RPr="00431D4E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D931" w14:textId="77777777" w:rsidR="003F3A5C" w:rsidRDefault="003F3A5C" w:rsidP="00B80620">
      <w:pPr>
        <w:spacing w:line="240" w:lineRule="auto"/>
      </w:pPr>
      <w:r>
        <w:separator/>
      </w:r>
    </w:p>
  </w:endnote>
  <w:endnote w:type="continuationSeparator" w:id="0">
    <w:p w14:paraId="74A3DCE0" w14:textId="77777777" w:rsidR="003F3A5C" w:rsidRDefault="003F3A5C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B1E4" w14:textId="77777777" w:rsidR="003F3A5C" w:rsidRDefault="003F3A5C" w:rsidP="00B80620">
      <w:pPr>
        <w:spacing w:line="240" w:lineRule="auto"/>
      </w:pPr>
      <w:r>
        <w:separator/>
      </w:r>
    </w:p>
  </w:footnote>
  <w:footnote w:type="continuationSeparator" w:id="0">
    <w:p w14:paraId="4B83FDC6" w14:textId="77777777" w:rsidR="003F3A5C" w:rsidRDefault="003F3A5C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6576EE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0358AD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150E13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F1250"/>
    <w:multiLevelType w:val="multilevel"/>
    <w:tmpl w:val="5DF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E6386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8635741">
    <w:abstractNumId w:val="23"/>
  </w:num>
  <w:num w:numId="2" w16cid:durableId="1947424910">
    <w:abstractNumId w:val="14"/>
  </w:num>
  <w:num w:numId="3" w16cid:durableId="1000044984">
    <w:abstractNumId w:val="27"/>
  </w:num>
  <w:num w:numId="4" w16cid:durableId="952860058">
    <w:abstractNumId w:val="12"/>
  </w:num>
  <w:num w:numId="5" w16cid:durableId="1646927309">
    <w:abstractNumId w:val="3"/>
  </w:num>
  <w:num w:numId="6" w16cid:durableId="2114551391">
    <w:abstractNumId w:val="18"/>
  </w:num>
  <w:num w:numId="7" w16cid:durableId="30233042">
    <w:abstractNumId w:val="26"/>
  </w:num>
  <w:num w:numId="8" w16cid:durableId="523982699">
    <w:abstractNumId w:val="46"/>
  </w:num>
  <w:num w:numId="9" w16cid:durableId="1161774669">
    <w:abstractNumId w:val="8"/>
  </w:num>
  <w:num w:numId="10" w16cid:durableId="943851874">
    <w:abstractNumId w:val="45"/>
  </w:num>
  <w:num w:numId="11" w16cid:durableId="264731837">
    <w:abstractNumId w:val="29"/>
  </w:num>
  <w:num w:numId="12" w16cid:durableId="107236291">
    <w:abstractNumId w:val="22"/>
  </w:num>
  <w:num w:numId="13" w16cid:durableId="44218904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1"/>
  </w:num>
  <w:num w:numId="15" w16cid:durableId="1969119275">
    <w:abstractNumId w:val="2"/>
  </w:num>
  <w:num w:numId="16" w16cid:durableId="43794053">
    <w:abstractNumId w:val="36"/>
  </w:num>
  <w:num w:numId="17" w16cid:durableId="1390767828">
    <w:abstractNumId w:val="20"/>
  </w:num>
  <w:num w:numId="18" w16cid:durableId="767895411">
    <w:abstractNumId w:val="10"/>
  </w:num>
  <w:num w:numId="19" w16cid:durableId="1083644987">
    <w:abstractNumId w:val="16"/>
  </w:num>
  <w:num w:numId="20" w16cid:durableId="744033107">
    <w:abstractNumId w:val="39"/>
  </w:num>
  <w:num w:numId="21" w16cid:durableId="1520924016">
    <w:abstractNumId w:val="43"/>
  </w:num>
  <w:num w:numId="22" w16cid:durableId="1102802596">
    <w:abstractNumId w:val="1"/>
  </w:num>
  <w:num w:numId="23" w16cid:durableId="831987928">
    <w:abstractNumId w:val="37"/>
  </w:num>
  <w:num w:numId="24" w16cid:durableId="17660007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2"/>
  </w:num>
  <w:num w:numId="27" w16cid:durableId="1848136786">
    <w:abstractNumId w:val="15"/>
  </w:num>
  <w:num w:numId="28" w16cid:durableId="634793775">
    <w:abstractNumId w:val="28"/>
  </w:num>
  <w:num w:numId="29" w16cid:durableId="544877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40"/>
  </w:num>
  <w:num w:numId="31" w16cid:durableId="2053459093">
    <w:abstractNumId w:val="44"/>
  </w:num>
  <w:num w:numId="32" w16cid:durableId="44376476">
    <w:abstractNumId w:val="6"/>
  </w:num>
  <w:num w:numId="33" w16cid:durableId="1567842379">
    <w:abstractNumId w:val="21"/>
  </w:num>
  <w:num w:numId="34" w16cid:durableId="471748442">
    <w:abstractNumId w:val="17"/>
  </w:num>
  <w:num w:numId="35" w16cid:durableId="1652058391">
    <w:abstractNumId w:val="24"/>
  </w:num>
  <w:num w:numId="36" w16cid:durableId="2118715068">
    <w:abstractNumId w:val="31"/>
  </w:num>
  <w:num w:numId="37" w16cid:durableId="535124316">
    <w:abstractNumId w:val="35"/>
  </w:num>
  <w:num w:numId="38" w16cid:durableId="1853495127">
    <w:abstractNumId w:val="33"/>
  </w:num>
  <w:num w:numId="39" w16cid:durableId="1904677938">
    <w:abstractNumId w:val="42"/>
  </w:num>
  <w:num w:numId="40" w16cid:durableId="9335074">
    <w:abstractNumId w:val="5"/>
  </w:num>
  <w:num w:numId="41" w16cid:durableId="557128747">
    <w:abstractNumId w:val="7"/>
  </w:num>
  <w:num w:numId="42" w16cid:durableId="1349327906">
    <w:abstractNumId w:val="4"/>
  </w:num>
  <w:num w:numId="43" w16cid:durableId="866524187">
    <w:abstractNumId w:val="30"/>
  </w:num>
  <w:num w:numId="44" w16cid:durableId="623581175">
    <w:abstractNumId w:val="9"/>
  </w:num>
  <w:num w:numId="45" w16cid:durableId="1470243166">
    <w:abstractNumId w:val="47"/>
  </w:num>
  <w:num w:numId="46" w16cid:durableId="833448603">
    <w:abstractNumId w:val="41"/>
  </w:num>
  <w:num w:numId="47" w16cid:durableId="6680578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7CFF"/>
    <w:rsid w:val="000410CB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7C7E"/>
    <w:rsid w:val="000935E6"/>
    <w:rsid w:val="00097230"/>
    <w:rsid w:val="00097270"/>
    <w:rsid w:val="000A4A7C"/>
    <w:rsid w:val="000A5FAE"/>
    <w:rsid w:val="000A6B08"/>
    <w:rsid w:val="000B0B18"/>
    <w:rsid w:val="000B1FD1"/>
    <w:rsid w:val="000B258E"/>
    <w:rsid w:val="000D0353"/>
    <w:rsid w:val="000D2461"/>
    <w:rsid w:val="000D63DB"/>
    <w:rsid w:val="000E1CC0"/>
    <w:rsid w:val="000E3A90"/>
    <w:rsid w:val="000E6BF4"/>
    <w:rsid w:val="000F02C0"/>
    <w:rsid w:val="000F2453"/>
    <w:rsid w:val="000F5BBC"/>
    <w:rsid w:val="00102A8C"/>
    <w:rsid w:val="00102B03"/>
    <w:rsid w:val="001102F1"/>
    <w:rsid w:val="001111B8"/>
    <w:rsid w:val="00112EFF"/>
    <w:rsid w:val="00120ACC"/>
    <w:rsid w:val="00125034"/>
    <w:rsid w:val="0012562F"/>
    <w:rsid w:val="0013100E"/>
    <w:rsid w:val="0013207A"/>
    <w:rsid w:val="0013271A"/>
    <w:rsid w:val="00133E11"/>
    <w:rsid w:val="0013436E"/>
    <w:rsid w:val="0013503F"/>
    <w:rsid w:val="001355E1"/>
    <w:rsid w:val="00136C52"/>
    <w:rsid w:val="00137E4D"/>
    <w:rsid w:val="00143474"/>
    <w:rsid w:val="001450F9"/>
    <w:rsid w:val="001553CD"/>
    <w:rsid w:val="001654AC"/>
    <w:rsid w:val="00171341"/>
    <w:rsid w:val="00173CBF"/>
    <w:rsid w:val="001808A2"/>
    <w:rsid w:val="001816E0"/>
    <w:rsid w:val="0018488B"/>
    <w:rsid w:val="0019329B"/>
    <w:rsid w:val="00196D29"/>
    <w:rsid w:val="001A7AC9"/>
    <w:rsid w:val="001B6549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879"/>
    <w:rsid w:val="00255AD6"/>
    <w:rsid w:val="002609D8"/>
    <w:rsid w:val="00263F1D"/>
    <w:rsid w:val="00265962"/>
    <w:rsid w:val="00265AF0"/>
    <w:rsid w:val="00267CA4"/>
    <w:rsid w:val="0027086E"/>
    <w:rsid w:val="00275026"/>
    <w:rsid w:val="0027573E"/>
    <w:rsid w:val="002951EF"/>
    <w:rsid w:val="00296D2F"/>
    <w:rsid w:val="002A1946"/>
    <w:rsid w:val="002A4FD4"/>
    <w:rsid w:val="002A684A"/>
    <w:rsid w:val="002B787C"/>
    <w:rsid w:val="002C040B"/>
    <w:rsid w:val="002C3826"/>
    <w:rsid w:val="002C3FC9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2B20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275B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E70A3"/>
    <w:rsid w:val="003F0915"/>
    <w:rsid w:val="003F2455"/>
    <w:rsid w:val="003F3A5C"/>
    <w:rsid w:val="003F717E"/>
    <w:rsid w:val="00401309"/>
    <w:rsid w:val="004014DD"/>
    <w:rsid w:val="004021A1"/>
    <w:rsid w:val="0040479D"/>
    <w:rsid w:val="00406A89"/>
    <w:rsid w:val="00413188"/>
    <w:rsid w:val="00415578"/>
    <w:rsid w:val="004173A8"/>
    <w:rsid w:val="00421EAB"/>
    <w:rsid w:val="0042479C"/>
    <w:rsid w:val="00424F16"/>
    <w:rsid w:val="00431398"/>
    <w:rsid w:val="00431D4E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A15"/>
    <w:rsid w:val="00520BAC"/>
    <w:rsid w:val="00530897"/>
    <w:rsid w:val="00537AD5"/>
    <w:rsid w:val="00540E92"/>
    <w:rsid w:val="00544886"/>
    <w:rsid w:val="00544970"/>
    <w:rsid w:val="0055093F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71CC"/>
    <w:rsid w:val="005F6E1C"/>
    <w:rsid w:val="00600466"/>
    <w:rsid w:val="006059EF"/>
    <w:rsid w:val="00605EC0"/>
    <w:rsid w:val="00606BCD"/>
    <w:rsid w:val="006120D6"/>
    <w:rsid w:val="006125DF"/>
    <w:rsid w:val="00616751"/>
    <w:rsid w:val="006176D0"/>
    <w:rsid w:val="00617C8D"/>
    <w:rsid w:val="00623558"/>
    <w:rsid w:val="00623D19"/>
    <w:rsid w:val="006251F1"/>
    <w:rsid w:val="006267FD"/>
    <w:rsid w:val="0063027E"/>
    <w:rsid w:val="00631B28"/>
    <w:rsid w:val="00636CF3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445E4"/>
    <w:rsid w:val="0075308C"/>
    <w:rsid w:val="00771833"/>
    <w:rsid w:val="00773BC3"/>
    <w:rsid w:val="00775282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06F"/>
    <w:rsid w:val="007E562D"/>
    <w:rsid w:val="007F14B1"/>
    <w:rsid w:val="007F7A08"/>
    <w:rsid w:val="00800859"/>
    <w:rsid w:val="00800989"/>
    <w:rsid w:val="00804296"/>
    <w:rsid w:val="008062C3"/>
    <w:rsid w:val="00810AFC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66599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37E5E"/>
    <w:rsid w:val="009426F2"/>
    <w:rsid w:val="009444FB"/>
    <w:rsid w:val="00950A79"/>
    <w:rsid w:val="00965042"/>
    <w:rsid w:val="00966C48"/>
    <w:rsid w:val="00972520"/>
    <w:rsid w:val="009731BE"/>
    <w:rsid w:val="009734EF"/>
    <w:rsid w:val="009740ED"/>
    <w:rsid w:val="00977A0A"/>
    <w:rsid w:val="0098018D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1886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0EF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110B8"/>
    <w:rsid w:val="00B1197B"/>
    <w:rsid w:val="00B233C8"/>
    <w:rsid w:val="00B25D9D"/>
    <w:rsid w:val="00B46442"/>
    <w:rsid w:val="00B47716"/>
    <w:rsid w:val="00B52602"/>
    <w:rsid w:val="00B55CB1"/>
    <w:rsid w:val="00B64105"/>
    <w:rsid w:val="00B64DBD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58A3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4BDA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0628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51DF1"/>
    <w:rsid w:val="00D64E36"/>
    <w:rsid w:val="00D66ADF"/>
    <w:rsid w:val="00D75439"/>
    <w:rsid w:val="00D76035"/>
    <w:rsid w:val="00D76A10"/>
    <w:rsid w:val="00D814BA"/>
    <w:rsid w:val="00D827DB"/>
    <w:rsid w:val="00D90A34"/>
    <w:rsid w:val="00D91E44"/>
    <w:rsid w:val="00D931FD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3A8C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D7"/>
    <w:rsid w:val="00EA31FA"/>
    <w:rsid w:val="00EA4D88"/>
    <w:rsid w:val="00EA507C"/>
    <w:rsid w:val="00EB07CE"/>
    <w:rsid w:val="00EB29D0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22196"/>
    <w:rsid w:val="00F51AE1"/>
    <w:rsid w:val="00F51BB5"/>
    <w:rsid w:val="00F51C40"/>
    <w:rsid w:val="00F667BB"/>
    <w:rsid w:val="00F72CE2"/>
    <w:rsid w:val="00F7361C"/>
    <w:rsid w:val="00F76E42"/>
    <w:rsid w:val="00F7705D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4750</Words>
  <Characters>2709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4</cp:revision>
  <cp:lastPrinted>2020-01-22T15:47:00Z</cp:lastPrinted>
  <dcterms:created xsi:type="dcterms:W3CDTF">2025-11-14T13:27:00Z</dcterms:created>
  <dcterms:modified xsi:type="dcterms:W3CDTF">2025-11-14T13:29:00Z</dcterms:modified>
</cp:coreProperties>
</file>