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1B4253" w14:paraId="1D7AB6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1B4253" w14:paraId="07CA51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1B4253" w14:paraId="77B44CB9" w14:textId="7CA9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85A77" w:rsidR="00585A77">
        <w:rPr>
          <w:rFonts w:ascii="Times New Roman" w:eastAsia="Times New Roman" w:hAnsi="Times New Roman" w:cs="Times New Roman"/>
          <w:b/>
          <w:sz w:val="28"/>
          <w:szCs w:val="28"/>
        </w:rPr>
        <w:t>Garāžas vārtu piegāde un uzstādīšana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D87E3C" w:rsidP="001B4253" w14:paraId="5AF05E8D" w14:textId="5FF3EB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D87E3C" w:rsidR="00D87E3C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BAP/2026/2-1/6</w:t>
      </w:r>
    </w:p>
    <w:p w:rsidR="00AC093E" w:rsidRPr="000334F1" w:rsidP="001B4253" w14:paraId="52681F1D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1B4253" w14:paraId="7F7E77D8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1B4253" w14:paraId="31C891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767A3BB6" w14:textId="7777777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A44EEDF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4A51BD09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1B4253" w14:paraId="3CCDEF4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1B4253" w14:paraId="4361CEB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1E106E8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618C9C0E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6A4BA405" w14:textId="50A13D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Bauskas nov., </w:t>
            </w:r>
          </w:p>
          <w:p w:rsidR="00895EED" w:rsidRPr="00A9724F" w:rsidP="001B4253" w14:paraId="72E032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299A51F2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776CCC17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23DE7E27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1B4253" w:rsidP="001B4253" w14:paraId="3C3CE6ED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B95" w:rsidP="001B4253" w14:paraId="20467819" w14:textId="3FFBDC3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1B4253" w14:paraId="4A7A1FFD" w14:textId="0172A0A4">
      <w:pPr>
        <w:pStyle w:val="ListParagraph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E76B73">
        <w:rPr>
          <w:rFonts w:ascii="Times New Roman" w:hAnsi="Times New Roman"/>
          <w:sz w:val="24"/>
          <w:szCs w:val="24"/>
        </w:rPr>
        <w:t xml:space="preserve">Vienu </w:t>
      </w:r>
      <w:r w:rsidRPr="00E76B73">
        <w:rPr>
          <w:rFonts w:ascii="Times New Roman" w:hAnsi="Times New Roman"/>
          <w:iCs/>
          <w:sz w:val="24"/>
          <w:szCs w:val="24"/>
        </w:rPr>
        <w:t>vārtu izgatavošana, piegādāšana un uzstādīšana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1B4253" w:rsidP="001B4253" w14:paraId="0723515C" w14:textId="77777777">
      <w:pPr>
        <w:pStyle w:val="ListParagraph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A9724F" w:rsidRPr="001B4253" w:rsidP="001B4253" w14:paraId="4A29FCA2" w14:textId="5AD9E8B4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87E3C" w:rsidR="00D87E3C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BAP/2026/2-1/6</w:t>
      </w:r>
    </w:p>
    <w:p w:rsidR="001B4253" w:rsidRPr="0039172A" w:rsidP="001B4253" w14:paraId="0072DA93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72A" w:rsidRPr="0039172A" w:rsidP="001B4253" w14:paraId="47CDB6E1" w14:textId="3E36517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D13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929CD" w:rsidRPr="005C74BD" w:rsidP="00D1395D" w14:paraId="39EDC263" w14:textId="258975B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9980813"/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Codes un Mežotnes pagasta nodaļas vadītājs Zigurds Kalējs, e-pasts: </w:t>
      </w:r>
      <w:hyperlink r:id="rId4" w:history="1">
        <w:r w:rsidRPr="005C74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zigurds.kalejs@bauskasnovads.lv</w:t>
        </w:r>
      </w:hyperlink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 , tālr. +371 </w:t>
      </w:r>
      <w:r w:rsidRPr="005C74BD">
        <w:rPr>
          <w:rFonts w:ascii="Times New Roman" w:eastAsia="Times New Roman" w:hAnsi="Times New Roman" w:cs="Times New Roman"/>
          <w:color w:val="323232"/>
          <w:sz w:val="24"/>
          <w:szCs w:val="24"/>
        </w:rPr>
        <w:t>27802519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5C74BD" w:rsidP="00D1395D" w14:paraId="75576B77" w14:textId="1C75BF4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BD">
        <w:rPr>
          <w:rFonts w:ascii="Times New Roman" w:eastAsia="Times New Roman" w:hAnsi="Times New Roman" w:cs="Times New Roman"/>
          <w:sz w:val="24"/>
          <w:szCs w:val="24"/>
        </w:rPr>
        <w:t>Codes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pagasta nodaļas </w:t>
      </w:r>
      <w:r>
        <w:rPr>
          <w:rFonts w:ascii="Times New Roman" w:eastAsia="Times New Roman" w:hAnsi="Times New Roman" w:cs="Times New Roman"/>
          <w:sz w:val="24"/>
          <w:szCs w:val="24"/>
        </w:rPr>
        <w:t>saimniecības pārzinis Uldis Kaņeps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r>
        <w:fldChar w:fldCharType="begin"/>
      </w:r>
      <w:r w:rsidRPr="00C850AF">
        <w:rPr>
          <w:rStyle w:val="Hyperlink"/>
          <w:rFonts w:ascii="Times New Roman" w:eastAsia="Times New Roman" w:hAnsi="Times New Roman" w:cs="Times New Roman"/>
          <w:sz w:val="24"/>
          <w:szCs w:val="24"/>
        </w:rPr>
        <w:instrText xml:space="preserve"> HYPERLINK "mailto:uldis.kaneps@bauskasnovads.lv" </w:instrText>
      </w:r>
      <w:r>
        <w:fldChar w:fldCharType="separate"/>
      </w:r>
      <w:r w:rsidRPr="00C850AF">
        <w:rPr>
          <w:rStyle w:val="Hyperlink"/>
          <w:rFonts w:ascii="Times New Roman" w:eastAsia="Times New Roman" w:hAnsi="Times New Roman" w:cs="Times New Roman"/>
          <w:sz w:val="24"/>
          <w:szCs w:val="24"/>
        </w:rPr>
        <w:t>uldis.kaneps@bauskasnovads.lv</w:t>
      </w:r>
      <w:r>
        <w:fldChar w:fldCharType="end"/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 , tālr. +371 </w:t>
      </w:r>
      <w:r w:rsidRPr="005C74BD">
        <w:rPr>
          <w:rFonts w:ascii="Times New Roman" w:eastAsia="Times New Roman" w:hAnsi="Times New Roman" w:cs="Times New Roman"/>
          <w:color w:val="32323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9186809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253" w:rsidRPr="005C74BD" w:rsidP="001B4253" w14:paraId="6798DBA7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714711F9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1B4253" w14:paraId="4E897EA2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1B4253" w14:paraId="0BCBEC63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priekšmets netiek dalīts daļās. Pretendents piedāvājumu drīkst iesniegt </w:t>
      </w:r>
      <w:r w:rsidR="00B7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tikai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1B4253" w14:paraId="29385C25" w14:textId="3BD89555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5C7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>gada</w:t>
      </w:r>
      <w:r w:rsidRPr="00D1395D" w:rsid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395D" w:rsidR="00D139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1395D" w:rsidR="00585A77">
        <w:rPr>
          <w:rFonts w:ascii="Times New Roman" w:eastAsia="Times New Roman" w:hAnsi="Times New Roman" w:cs="Times New Roman"/>
          <w:b/>
          <w:sz w:val="24"/>
          <w:szCs w:val="24"/>
        </w:rPr>
        <w:t>0.februārim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1B4253" w14:paraId="7233CA89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1B4253" w14:paraId="47EDD478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1B4253" w:rsidP="001B4253" w14:paraId="31398D55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EED" w:rsidRPr="00A9724F" w:rsidP="001B4253" w14:paraId="09FCCC40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737CC" w:rsidP="001B4253" w14:paraId="42345FC2" w14:textId="7FBD624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="00FC7DF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noteikti tehniskajā specifikācijā (Nolikuma 1.pielikums)</w:t>
      </w:r>
      <w:r w:rsidR="005C7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2085E" w:rsidP="001B4253" w14:paraId="6E4A6B44" w14:textId="5CE1959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7C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 w:rsidRPr="00B737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bookmarkStart w:id="2" w:name="_Hlk179537589"/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Pr="00B737CC" w:rsidR="00BB4EC5">
        <w:rPr>
          <w:rFonts w:ascii="Times New Roman" w:eastAsia="Times New Roman" w:hAnsi="Times New Roman" w:cs="Times New Roman"/>
          <w:sz w:val="24"/>
          <w:szCs w:val="24"/>
        </w:rPr>
        <w:t>faktiski veiktā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>s vārtu montāžas,</w:t>
      </w:r>
      <w:r w:rsidR="005C7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7CC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normatīvajos aktos noteiktajā kārtībā noformēta </w:t>
      </w:r>
      <w:r w:rsidR="005C74BD">
        <w:rPr>
          <w:rFonts w:ascii="Times New Roman" w:eastAsia="Times New Roman" w:hAnsi="Times New Roman" w:cs="Times New Roman"/>
          <w:sz w:val="24"/>
          <w:szCs w:val="24"/>
        </w:rPr>
        <w:t xml:space="preserve">strukturēta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rēķina saņemšanas, pārskaitot naudu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Izpildītāja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2"/>
      <w:r w:rsid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253" w:rsidRPr="00B737CC" w:rsidP="001B4253" w14:paraId="15EF584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A77" w:rsidP="001B4253" w14:paraId="42096A60" w14:textId="7777777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5A77">
        <w:rPr>
          <w:rFonts w:ascii="Times New Roman" w:hAnsi="Times New Roman"/>
          <w:b/>
          <w:sz w:val="24"/>
          <w:szCs w:val="24"/>
        </w:rPr>
        <w:t>Objekta apskate</w:t>
      </w:r>
      <w:r w:rsidRPr="00E76B73">
        <w:rPr>
          <w:rFonts w:ascii="Times New Roman" w:hAnsi="Times New Roman"/>
          <w:b/>
          <w:sz w:val="24"/>
          <w:szCs w:val="24"/>
        </w:rPr>
        <w:t xml:space="preserve"> </w:t>
      </w:r>
      <w:r w:rsidRPr="00E76B73">
        <w:rPr>
          <w:rFonts w:ascii="Times New Roman" w:hAnsi="Times New Roman"/>
          <w:sz w:val="24"/>
          <w:szCs w:val="24"/>
        </w:rPr>
        <w:t xml:space="preserve">ir </w:t>
      </w:r>
      <w:r w:rsidR="00E1362E">
        <w:rPr>
          <w:rFonts w:ascii="Times New Roman" w:hAnsi="Times New Roman"/>
          <w:sz w:val="24"/>
          <w:szCs w:val="24"/>
        </w:rPr>
        <w:t>obligāta</w:t>
      </w:r>
      <w:r w:rsidRPr="00E76B73">
        <w:rPr>
          <w:rFonts w:ascii="Times New Roman" w:hAnsi="Times New Roman"/>
          <w:sz w:val="24"/>
          <w:szCs w:val="24"/>
        </w:rPr>
        <w:t xml:space="preserve">, lai izvairītos no būtiskām kļūdām aprēķinos un tehniskajos risinājumos un lai pasākumi objektā tiktu plānoti atbilstoši reālajai situācijai, nevis virspusējiem pieņēmumiem vai sākotnējai informācijai. </w:t>
      </w:r>
    </w:p>
    <w:p w:rsidR="001B4253" w:rsidP="001B4253" w14:paraId="19C9C76B" w14:textId="77777777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1B4253" w14:paraId="629558E6" w14:textId="082D2DC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  <w:r w:rsidR="001B425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95EED" w:rsidP="001B4253" w14:paraId="1680621F" w14:textId="77777777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1B4253" w14:paraId="56410EAF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1B4253" w:rsidP="001B4253" w14:paraId="18DD3E19" w14:textId="6DC7868B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1B4253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1B4253" w14:paraId="7AA3F57C" w14:textId="77777777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1B4253" w14:paraId="7F0D7CEB" w14:textId="77777777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1B4253" w:rsidP="001B4253" w14:paraId="6A154421" w14:textId="7777777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85A77" w:rsidRPr="001B4253" w:rsidP="001B4253" w14:paraId="6037D606" w14:textId="43C7D1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1B4253" w14:paraId="591A9013" w14:textId="77777777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D1395D" w:rsidP="001B4253" w14:paraId="6B161852" w14:textId="77777777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D1395D" w:rsidP="00D1395D" w14:paraId="7D00DB51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D1395D" w:rsidP="00D1395D" w14:paraId="24EABB3F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52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D1395D" w:rsidP="00D1395D" w14:paraId="5C1E2D70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D1395D" w:rsidP="00D1395D" w14:paraId="0CC1FB74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D1395D" w:rsidP="00D1395D" w14:paraId="08D85BD9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D1395D" w:rsidRPr="00FC7DFF" w:rsidP="00D1395D" w14:paraId="06F49E69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DFF" w:rsidP="00FC7DFF" w14:paraId="0FF5A2BE" w14:textId="77777777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C7DFF" w:rsidRPr="00FC7DFF" w:rsidP="00FC7DFF" w14:paraId="154E1D61" w14:textId="3B074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FC7DFF">
        <w:rPr>
          <w:rFonts w:ascii="Times New Roman" w:eastAsia="Times New Roman" w:hAnsi="Times New Roman" w:cs="Times New Roman"/>
          <w:b/>
          <w:sz w:val="24"/>
          <w:szCs w:val="24"/>
        </w:rPr>
        <w:t>Pielikumi</w:t>
      </w:r>
    </w:p>
    <w:p w:rsidR="00FC7DFF" w:rsidRPr="00FC7DFF" w:rsidP="00FC7DFF" w14:paraId="70C9D778" w14:textId="7777777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DFF">
        <w:rPr>
          <w:rFonts w:ascii="Times New Roman" w:eastAsia="Times New Roman" w:hAnsi="Times New Roman" w:cs="Times New Roman"/>
          <w:sz w:val="24"/>
          <w:szCs w:val="24"/>
        </w:rPr>
        <w:t>Nolikumam pievienoti šādi pielikumi:</w:t>
      </w:r>
    </w:p>
    <w:tbl>
      <w:tblPr>
        <w:tblW w:w="0" w:type="auto"/>
        <w:tblLayout w:type="fixed"/>
        <w:tblLook w:val="04A0"/>
      </w:tblPr>
      <w:tblGrid>
        <w:gridCol w:w="1463"/>
        <w:gridCol w:w="6804"/>
      </w:tblGrid>
      <w:tr w14:paraId="4413301A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0A5C1081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1.pielikums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08F1ECB9" w14:textId="003FF11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 specifikācija</w:t>
            </w:r>
          </w:p>
        </w:tc>
      </w:tr>
      <w:tr w14:paraId="2515C318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2F292672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2.pielikums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58B4A473" w14:textId="77777777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Pieteikums </w:t>
            </w:r>
          </w:p>
        </w:tc>
      </w:tr>
      <w:tr w14:paraId="12B180A1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4EEA3819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0A7702C2" w14:textId="77777777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Finanšu piedāvājums</w:t>
            </w:r>
          </w:p>
        </w:tc>
      </w:tr>
    </w:tbl>
    <w:p w:rsidR="00FC7DFF" w:rsidRPr="00585A77" w:rsidP="00FC7DFF" w14:paraId="53E2505F" w14:textId="7777777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P="001B4253" w14:paraId="49AFDF7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1B4253" w14:paraId="7B1C1AB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1B4253" w14:paraId="0039B374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1B4253" w14:paraId="40A61C0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1B4253" w14:paraId="3F8DAC1B" w14:textId="4CE39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1B4253" w14:paraId="39106A31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1B4253" w14:paraId="45C6A03C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6FFDEDBE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7B968AF4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595DB96F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Sect="001B4253">
      <w:footerReference w:type="default" r:id="rId6"/>
      <w:footerReference w:type="first" r:id="rId7"/>
      <w:pgSz w:w="11906" w:h="16838"/>
      <w:pgMar w:top="993" w:right="849" w:bottom="993" w:left="1800" w:header="708" w:footer="3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254DC2BF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5BBD3644"/>
    <w:multiLevelType w:val="multilevel"/>
    <w:tmpl w:val="A4EA1D6A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29"/>
  </w:num>
  <w:num w:numId="2" w16cid:durableId="931939788">
    <w:abstractNumId w:val="13"/>
  </w:num>
  <w:num w:numId="3" w16cid:durableId="1793861523">
    <w:abstractNumId w:val="21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3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6"/>
  </w:num>
  <w:num w:numId="12" w16cid:durableId="1668902463">
    <w:abstractNumId w:val="1"/>
  </w:num>
  <w:num w:numId="13" w16cid:durableId="639501345">
    <w:abstractNumId w:val="25"/>
  </w:num>
  <w:num w:numId="14" w16cid:durableId="1889876078">
    <w:abstractNumId w:val="6"/>
  </w:num>
  <w:num w:numId="15" w16cid:durableId="554975294">
    <w:abstractNumId w:val="14"/>
  </w:num>
  <w:num w:numId="16" w16cid:durableId="1241408255">
    <w:abstractNumId w:val="3"/>
  </w:num>
  <w:num w:numId="17" w16cid:durableId="277684872">
    <w:abstractNumId w:val="15"/>
  </w:num>
  <w:num w:numId="18" w16cid:durableId="1700004139">
    <w:abstractNumId w:val="17"/>
  </w:num>
  <w:num w:numId="19" w16cid:durableId="1918323745">
    <w:abstractNumId w:val="24"/>
  </w:num>
  <w:num w:numId="20" w16cid:durableId="1296178614">
    <w:abstractNumId w:val="19"/>
  </w:num>
  <w:num w:numId="21" w16cid:durableId="1765614112">
    <w:abstractNumId w:val="28"/>
  </w:num>
  <w:num w:numId="22" w16cid:durableId="663749638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2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2"/>
  </w:num>
  <w:num w:numId="29" w16cid:durableId="1871599573">
    <w:abstractNumId w:val="18"/>
  </w:num>
  <w:num w:numId="30" w16cid:durableId="1545026317">
    <w:abstractNumId w:val="20"/>
  </w:num>
  <w:num w:numId="31" w16cid:durableId="1286279861">
    <w:abstractNumId w:val="26"/>
  </w:num>
  <w:num w:numId="32" w16cid:durableId="121464540">
    <w:abstractNumId w:val="30"/>
  </w:num>
  <w:num w:numId="33" w16cid:durableId="2050180476">
    <w:abstractNumId w:val="11"/>
  </w:num>
  <w:num w:numId="34" w16cid:durableId="9296537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817085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15794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55A5A"/>
    <w:rsid w:val="00160D76"/>
    <w:rsid w:val="001662A6"/>
    <w:rsid w:val="001669D1"/>
    <w:rsid w:val="0019146C"/>
    <w:rsid w:val="0019332A"/>
    <w:rsid w:val="001B4253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3270A"/>
    <w:rsid w:val="00343BDA"/>
    <w:rsid w:val="003454B8"/>
    <w:rsid w:val="00355E44"/>
    <w:rsid w:val="00370179"/>
    <w:rsid w:val="00370B43"/>
    <w:rsid w:val="003733D0"/>
    <w:rsid w:val="00373803"/>
    <w:rsid w:val="00375B41"/>
    <w:rsid w:val="0039172A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1676B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533B"/>
    <w:rsid w:val="005168D4"/>
    <w:rsid w:val="00516D46"/>
    <w:rsid w:val="00517AAC"/>
    <w:rsid w:val="0053096D"/>
    <w:rsid w:val="0053127C"/>
    <w:rsid w:val="005319D9"/>
    <w:rsid w:val="0053799F"/>
    <w:rsid w:val="00555586"/>
    <w:rsid w:val="0055668B"/>
    <w:rsid w:val="00570F71"/>
    <w:rsid w:val="00585A77"/>
    <w:rsid w:val="005A0750"/>
    <w:rsid w:val="005A0C1B"/>
    <w:rsid w:val="005B21FD"/>
    <w:rsid w:val="005C5D87"/>
    <w:rsid w:val="005C74BD"/>
    <w:rsid w:val="005E6011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85F1A"/>
    <w:rsid w:val="00695C77"/>
    <w:rsid w:val="006A2326"/>
    <w:rsid w:val="006A6C71"/>
    <w:rsid w:val="006A72D3"/>
    <w:rsid w:val="006D1038"/>
    <w:rsid w:val="006D1BC7"/>
    <w:rsid w:val="006D2CF2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969A3"/>
    <w:rsid w:val="008A2105"/>
    <w:rsid w:val="008A2FA7"/>
    <w:rsid w:val="008B2405"/>
    <w:rsid w:val="008C6F14"/>
    <w:rsid w:val="008C7C7E"/>
    <w:rsid w:val="008D089C"/>
    <w:rsid w:val="008D1926"/>
    <w:rsid w:val="008D6A72"/>
    <w:rsid w:val="008D763F"/>
    <w:rsid w:val="008E2ED3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B67F6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3BEB"/>
    <w:rsid w:val="00AF29E4"/>
    <w:rsid w:val="00AF42C6"/>
    <w:rsid w:val="00AF7395"/>
    <w:rsid w:val="00B14309"/>
    <w:rsid w:val="00B2262B"/>
    <w:rsid w:val="00B33A05"/>
    <w:rsid w:val="00B737CC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850AF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4B95"/>
    <w:rsid w:val="00D07B84"/>
    <w:rsid w:val="00D10EF2"/>
    <w:rsid w:val="00D1395D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60A0"/>
    <w:rsid w:val="00D6366A"/>
    <w:rsid w:val="00D65739"/>
    <w:rsid w:val="00D66239"/>
    <w:rsid w:val="00D741B5"/>
    <w:rsid w:val="00D75D83"/>
    <w:rsid w:val="00D7743D"/>
    <w:rsid w:val="00D80A95"/>
    <w:rsid w:val="00D87E3C"/>
    <w:rsid w:val="00D95CED"/>
    <w:rsid w:val="00D962FD"/>
    <w:rsid w:val="00DA15D5"/>
    <w:rsid w:val="00DA57A5"/>
    <w:rsid w:val="00DA70F3"/>
    <w:rsid w:val="00DA7862"/>
    <w:rsid w:val="00DB4D62"/>
    <w:rsid w:val="00DB5748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62E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76B73"/>
    <w:rsid w:val="00E81003"/>
    <w:rsid w:val="00E821B2"/>
    <w:rsid w:val="00E86DD7"/>
    <w:rsid w:val="00E93525"/>
    <w:rsid w:val="00E9474F"/>
    <w:rsid w:val="00EA27DE"/>
    <w:rsid w:val="00EB7617"/>
    <w:rsid w:val="00EE1B73"/>
    <w:rsid w:val="00EE4F24"/>
    <w:rsid w:val="00EE5E29"/>
    <w:rsid w:val="00EE6B34"/>
    <w:rsid w:val="00F05C72"/>
    <w:rsid w:val="00F149CF"/>
    <w:rsid w:val="00F16429"/>
    <w:rsid w:val="00F2184B"/>
    <w:rsid w:val="00F408EC"/>
    <w:rsid w:val="00F47DCF"/>
    <w:rsid w:val="00F5293F"/>
    <w:rsid w:val="00F56F8C"/>
    <w:rsid w:val="00F70BB2"/>
    <w:rsid w:val="00F70F54"/>
    <w:rsid w:val="00F8110F"/>
    <w:rsid w:val="00F929CD"/>
    <w:rsid w:val="00F93C6F"/>
    <w:rsid w:val="00FC172F"/>
    <w:rsid w:val="00FC7DFF"/>
    <w:rsid w:val="00FD0B04"/>
    <w:rsid w:val="00FF231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B4EE8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zigurds.kalej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3</cp:revision>
  <cp:lastPrinted>2024-10-03T07:49:00Z</cp:lastPrinted>
  <dcterms:created xsi:type="dcterms:W3CDTF">2026-01-23T08:28:00Z</dcterms:created>
  <dcterms:modified xsi:type="dcterms:W3CDTF">2026-02-13T09:04:00Z</dcterms:modified>
</cp:coreProperties>
</file>