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F0440" w:rsidRPr="00DF0440" w:rsidP="00DF0440" w14:paraId="0BC83226" w14:textId="77777777">
      <w:pPr>
        <w:pStyle w:val="ListParagraph"/>
        <w:numPr>
          <w:ilvl w:val="3"/>
          <w:numId w:val="1"/>
        </w:numPr>
        <w:spacing w:after="160" w:line="259" w:lineRule="auto"/>
        <w:jc w:val="right"/>
        <w:rPr>
          <w:rFonts w:ascii="Times New Roman" w:hAnsi="Times New Roman"/>
          <w:bCs/>
          <w:sz w:val="24"/>
          <w:szCs w:val="24"/>
        </w:rPr>
      </w:pPr>
      <w:r w:rsidRPr="00DF0440">
        <w:rPr>
          <w:rFonts w:ascii="Times New Roman" w:hAnsi="Times New Roman"/>
          <w:bCs/>
          <w:sz w:val="24"/>
          <w:szCs w:val="24"/>
        </w:rPr>
        <w:t>pielikums</w:t>
      </w:r>
    </w:p>
    <w:p w:rsidR="00DF0440" w:rsidRPr="00DF0440" w:rsidP="00DF0440" w14:paraId="1A389667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F04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DF0440" w:rsidRPr="00DF0440" w:rsidP="00DF0440" w14:paraId="07EEA28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F04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APTAUJĀ</w:t>
      </w:r>
    </w:p>
    <w:p w:rsidR="004B71C9" w:rsidP="004B71C9" w14:paraId="19692146" w14:textId="5548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440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Skaņas un gaismas aparatūras apkope un remonts</w:t>
      </w:r>
    </w:p>
    <w:p w:rsidR="004B71C9" w:rsidRPr="00C837AF" w:rsidP="004B71C9" w14:paraId="712E42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Bauskas apvienības pārvaldes teritorijā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B71C9" w:rsidRPr="00A9724F" w:rsidP="004B71C9" w14:paraId="16C02B22" w14:textId="7777777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</w:t>
      </w:r>
      <w:r w:rsidRPr="009E04E6">
        <w:rPr>
          <w:rFonts w:ascii="Times New Roman" w:eastAsia="Times New Roman" w:hAnsi="Times New Roman" w:cs="Times New Roman"/>
          <w:b/>
          <w:sz w:val="24"/>
          <w:szCs w:val="24"/>
        </w:rPr>
        <w:t xml:space="preserve">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BAP/2026/2-1/12</w:t>
      </w:r>
    </w:p>
    <w:p w:rsidR="00DF0440" w:rsidP="00D424EE" w14:paraId="2CDED4F4" w14:textId="4914EBC4">
      <w:pPr>
        <w:pStyle w:val="ListParagraph"/>
        <w:widowControl w:val="0"/>
        <w:numPr>
          <w:ilvl w:val="6"/>
          <w:numId w:val="1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EE">
        <w:rPr>
          <w:rFonts w:ascii="Times New Roman" w:eastAsia="Times New Roman" w:hAnsi="Times New Roman" w:cs="Times New Roman"/>
          <w:sz w:val="24"/>
          <w:szCs w:val="24"/>
        </w:rPr>
        <w:t xml:space="preserve">Iepirkuma līguma ietvaros pēc </w:t>
      </w:r>
      <w:r w:rsidR="00D424E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424EE">
        <w:rPr>
          <w:rFonts w:ascii="Times New Roman" w:eastAsia="Times New Roman" w:hAnsi="Times New Roman" w:cs="Times New Roman"/>
          <w:sz w:val="24"/>
          <w:szCs w:val="24"/>
        </w:rPr>
        <w:t xml:space="preserve">asūtītāja pieprasījuma </w:t>
      </w:r>
      <w:r w:rsidR="00D424EE">
        <w:rPr>
          <w:rFonts w:ascii="Times New Roman" w:eastAsia="Times New Roman" w:hAnsi="Times New Roman" w:cs="Times New Roman"/>
          <w:sz w:val="24"/>
          <w:szCs w:val="24"/>
        </w:rPr>
        <w:t xml:space="preserve">Pakalpojuma sniedzējam ir </w:t>
      </w:r>
      <w:r w:rsidR="00FB317A">
        <w:rPr>
          <w:rFonts w:ascii="Times New Roman" w:eastAsia="Times New Roman" w:hAnsi="Times New Roman" w:cs="Times New Roman"/>
          <w:sz w:val="24"/>
          <w:szCs w:val="24"/>
        </w:rPr>
        <w:t>jā</w:t>
      </w:r>
      <w:r w:rsidR="00D424EE">
        <w:rPr>
          <w:rFonts w:ascii="Times New Roman" w:eastAsia="Times New Roman" w:hAnsi="Times New Roman" w:cs="Times New Roman"/>
          <w:sz w:val="24"/>
          <w:szCs w:val="24"/>
        </w:rPr>
        <w:t>nodrošin</w:t>
      </w:r>
      <w:r w:rsidR="00FB317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42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4EE">
        <w:rPr>
          <w:rFonts w:ascii="Times New Roman" w:eastAsia="Times New Roman" w:hAnsi="Times New Roman" w:cs="Times New Roman"/>
          <w:sz w:val="24"/>
          <w:szCs w:val="24"/>
        </w:rPr>
        <w:t xml:space="preserve">diagnostika un </w:t>
      </w:r>
      <w:r w:rsidRPr="00D424EE">
        <w:rPr>
          <w:rFonts w:ascii="Times New Roman" w:eastAsia="Times New Roman" w:hAnsi="Times New Roman" w:cs="Times New Roman"/>
          <w:sz w:val="24"/>
          <w:szCs w:val="24"/>
        </w:rPr>
        <w:t xml:space="preserve">remontdarbi </w:t>
      </w:r>
      <w:r w:rsidR="00D424EE">
        <w:rPr>
          <w:rFonts w:ascii="Times New Roman" w:eastAsia="Times New Roman" w:hAnsi="Times New Roman" w:cs="Times New Roman"/>
          <w:sz w:val="24"/>
          <w:szCs w:val="24"/>
        </w:rPr>
        <w:t>(turpmāk – Pakalpojums),</w:t>
      </w:r>
      <w:r w:rsidRPr="00D424EE">
        <w:rPr>
          <w:rFonts w:ascii="Times New Roman" w:eastAsia="Times New Roman" w:hAnsi="Times New Roman" w:cs="Times New Roman"/>
          <w:sz w:val="24"/>
          <w:szCs w:val="24"/>
        </w:rPr>
        <w:t xml:space="preserve"> Bauskas apvienības pārvaldes </w:t>
      </w:r>
      <w:r w:rsidRPr="00D424EE" w:rsidR="006369E9">
        <w:rPr>
          <w:rFonts w:ascii="Times New Roman" w:eastAsia="Times New Roman" w:hAnsi="Times New Roman" w:cs="Times New Roman"/>
          <w:sz w:val="24"/>
          <w:szCs w:val="24"/>
        </w:rPr>
        <w:t xml:space="preserve">skaņas un gaismas </w:t>
      </w:r>
      <w:r w:rsidRPr="00D424EE">
        <w:rPr>
          <w:rFonts w:ascii="Times New Roman" w:eastAsia="Times New Roman" w:hAnsi="Times New Roman" w:cs="Times New Roman"/>
          <w:sz w:val="24"/>
          <w:szCs w:val="24"/>
        </w:rPr>
        <w:t>aparatūrai</w:t>
      </w:r>
      <w:r w:rsidR="00D424EE">
        <w:rPr>
          <w:rFonts w:ascii="Times New Roman" w:eastAsia="Times New Roman" w:hAnsi="Times New Roman" w:cs="Times New Roman"/>
          <w:sz w:val="24"/>
          <w:szCs w:val="24"/>
        </w:rPr>
        <w:t xml:space="preserve"> (turpmāk – Aparatūra), kas norādīta 1.tabulā.</w:t>
      </w:r>
    </w:p>
    <w:p w:rsidR="00D424EE" w:rsidRPr="00D424EE" w:rsidP="00D424EE" w14:paraId="35447007" w14:textId="6EA67D20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1.tabula</w:t>
      </w:r>
    </w:p>
    <w:tbl>
      <w:tblPr>
        <w:tblStyle w:val="a2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9355"/>
      </w:tblGrid>
      <w:tr w14:paraId="162B21AE" w14:textId="77777777" w:rsidTr="00D424EE">
        <w:tblPrEx>
          <w:tblW w:w="10348" w:type="dxa"/>
          <w:tblInd w:w="-1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83"/>
          <w:tblHeader/>
        </w:trPr>
        <w:tc>
          <w:tcPr>
            <w:tcW w:w="993" w:type="dxa"/>
            <w:shd w:val="clear" w:color="auto" w:fill="FFFFFF"/>
            <w:vAlign w:val="center"/>
          </w:tcPr>
          <w:p w:rsidR="00DF0440" w:rsidRPr="00DF0440" w:rsidP="00300BB3" w14:paraId="7B9C5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F0440" w:rsidRPr="00DF0440" w:rsidP="00300BB3" w14:paraId="3702E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DF0440" w:rsidRPr="00DF0440" w:rsidP="00300BB3" w14:paraId="0577EC26" w14:textId="22CF006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Aparatūras  nosaukums</w:t>
            </w:r>
          </w:p>
          <w:p w:rsidR="00DF0440" w:rsidRPr="00DF0440" w:rsidP="00300BB3" w14:paraId="64AB2EB1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9E50987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  <w:vAlign w:val="center"/>
          </w:tcPr>
          <w:p w:rsidR="00DF0440" w:rsidRPr="00DF0440" w:rsidP="00300BB3" w14:paraId="0FB7E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FBD4B4"/>
            <w:vAlign w:val="center"/>
          </w:tcPr>
          <w:p w:rsidR="00DF0440" w:rsidRPr="00DF0440" w:rsidP="00300BB3" w14:paraId="1C393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Īslīce</w:t>
            </w:r>
          </w:p>
        </w:tc>
      </w:tr>
      <w:tr w14:paraId="1335098D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42AB6CEA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457E2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Kustīgā galva ADJ Focus Spot 5Z</w:t>
            </w:r>
          </w:p>
        </w:tc>
      </w:tr>
      <w:tr w14:paraId="3B12858B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74BC2084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70384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Skanda JBL SRX835P Powered</w:t>
            </w:r>
          </w:p>
        </w:tc>
      </w:tr>
      <w:tr w14:paraId="2AF5B64D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5099F67E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3D922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Midas DL 32 digitālais ieeju/izeju bloks</w:t>
            </w:r>
          </w:p>
        </w:tc>
      </w:tr>
      <w:tr w14:paraId="16C1A8AA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2F5F705B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7B661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Sennheiser G4 un G3 mikrofoni</w:t>
            </w:r>
          </w:p>
        </w:tc>
      </w:tr>
      <w:tr w14:paraId="0268FD5F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1E70456C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5423F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Miglas ģenerators Look Solutions Unique 2.1</w:t>
            </w:r>
          </w:p>
        </w:tc>
      </w:tr>
      <w:tr w14:paraId="7365D858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10CCD193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1C90A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Gaismu pults dot</w:t>
            </w:r>
            <w:r w:rsidRPr="00DF0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node</w:t>
            </w:r>
          </w:p>
        </w:tc>
      </w:tr>
      <w:tr w14:paraId="0848F1BE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252994C4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F0440" w:rsidRPr="00DF0440" w:rsidP="00300BB3" w14:paraId="473CF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Mikrrofons DPA mmpc 2011</w:t>
            </w:r>
          </w:p>
        </w:tc>
      </w:tr>
      <w:tr w14:paraId="16DF44F9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716EBFF1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40C66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Bungu Mikrofonu komplekts Audix D</w:t>
            </w:r>
          </w:p>
        </w:tc>
      </w:tr>
      <w:tr w14:paraId="18722A76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0E65CC8B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72649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EUROLITE LED SLS-144 RGBW prožektors</w:t>
            </w:r>
          </w:p>
        </w:tc>
      </w:tr>
      <w:tr w14:paraId="5DE6A0B0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6ED3B307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4A87FC4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LED prožektors Mega PAR Profile Plus</w:t>
            </w:r>
          </w:p>
        </w:tc>
      </w:tr>
      <w:tr w14:paraId="64AF949D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73AF58CD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28EE9AA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LD Systems LDI02 DI Box aktīvais</w:t>
            </w:r>
          </w:p>
        </w:tc>
      </w:tr>
      <w:tr w14:paraId="1EFD20A8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3EE541B9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7C17254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NEC Multimediju projektors</w:t>
            </w:r>
          </w:p>
        </w:tc>
      </w:tr>
      <w:tr w14:paraId="0D2B0B4B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0" w:rsidRPr="00DF0440" w:rsidP="00DF0440" w14:paraId="6FDA9230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2F272E6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Projektors NEC PA 703War tuvās projekcijas lēcu NP30ZL</w:t>
            </w:r>
          </w:p>
        </w:tc>
      </w:tr>
      <w:tr w14:paraId="003EB3B0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475CFDBC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557EE5B2" w14:textId="22D2C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American Audio USD100, CD/USB/MP3</w:t>
            </w:r>
          </w:p>
        </w:tc>
      </w:tr>
      <w:tr w14:paraId="79E2AD26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00800823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4AC4C5BC" w14:textId="2D07E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Pioneer DJM 350 skaņas pults 1239</w:t>
            </w:r>
          </w:p>
        </w:tc>
      </w:tr>
      <w:tr w14:paraId="1CE06B76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081986E4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56588483" w14:textId="3C3DE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Caymon FCX 104/B19 Statnes 4HE 360m</w:t>
            </w:r>
          </w:p>
        </w:tc>
      </w:tr>
      <w:tr w14:paraId="0E7ABE01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6887477C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28CE540A" w14:textId="2A23D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Dot2Nodea4 1K signāla pārveidotājs Skaņas pults</w:t>
            </w:r>
          </w:p>
        </w:tc>
      </w:tr>
      <w:tr w14:paraId="692181CD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15D7F2F3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18900BCD" w14:textId="0A5BE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SQ1 Graphic ekvalaizers</w:t>
            </w:r>
          </w:p>
        </w:tc>
      </w:tr>
      <w:tr w14:paraId="7796B830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457D7681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D424EE" w14:paraId="79381551" w14:textId="0B338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SONY MHC audio atskaņošanas centrs</w:t>
            </w:r>
          </w:p>
        </w:tc>
      </w:tr>
      <w:tr w14:paraId="5D3D22EC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6C24FBB3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61D90261" w14:textId="4A3C6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Digitālās klavieres -Yamaha P-125 </w:t>
            </w:r>
          </w:p>
        </w:tc>
      </w:tr>
      <w:tr w14:paraId="4FD2DCCE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0D718FDA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58A8690C" w14:textId="0D2B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SDM 660 mikrafons-raidītājs</w:t>
            </w:r>
          </w:p>
        </w:tc>
      </w:tr>
      <w:tr w14:paraId="7A21AB3E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676DB6CE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300BB3" w14:paraId="770AF338" w14:textId="4B5EC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M32R digitālā skaņas pults</w:t>
            </w:r>
          </w:p>
        </w:tc>
      </w:tr>
      <w:tr w14:paraId="5C56FE5C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DF0440" w:rsidRPr="00DF0440" w:rsidP="00DF0440" w14:paraId="78B36C1F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left w:w="0" w:type="dxa"/>
              <w:right w:w="0" w:type="dxa"/>
            </w:tcMar>
          </w:tcPr>
          <w:p w:rsidR="00DF0440" w:rsidRPr="00DF0440" w:rsidP="00D424EE" w14:paraId="1647D22E" w14:textId="7A4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Audac CMP30 Radio atskaņotājs</w:t>
            </w:r>
          </w:p>
        </w:tc>
      </w:tr>
      <w:tr w14:paraId="0A3AF2C8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1068EC7C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24451B7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SENNHEISER EW 365 G3-G-EU bezvadu mikrafonu sistēma</w:t>
            </w:r>
          </w:p>
        </w:tc>
      </w:tr>
      <w:tr w14:paraId="51805902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12809AA1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6AB8E04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Skeneri Mania SCX 500 (gaisma)</w:t>
            </w:r>
          </w:p>
        </w:tc>
      </w:tr>
      <w:tr w14:paraId="11BB98DF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43E3866E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0AA9089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Dūmmašīna Magnum 800</w:t>
            </w:r>
          </w:p>
        </w:tc>
      </w:tr>
      <w:tr w14:paraId="152DBBAE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64E45AD5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277D83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SENNHEISER ASA 1 aktīvais antenas spliteris ar Nt 1-1 barošanas bloku</w:t>
            </w:r>
          </w:p>
        </w:tc>
      </w:tr>
      <w:tr w14:paraId="6164FB4D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1685BFCE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241C012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eastAsia="ArialMT" w:hAnsi="Times New Roman" w:cs="Times New Roman"/>
                <w:sz w:val="24"/>
                <w:szCs w:val="24"/>
                <w:lang w:eastAsia="en-US"/>
                <w14:ligatures w14:val="standardContextual"/>
              </w:rPr>
              <w:t>Radio mikrofons Sennheiser EW 500 G4-KK205-AW+(2gab)</w:t>
            </w:r>
          </w:p>
        </w:tc>
      </w:tr>
      <w:tr w14:paraId="441FB176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7A099368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5C69063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eastAsia="ArialMT" w:hAnsi="Times New Roman" w:cs="Times New Roman"/>
                <w:sz w:val="24"/>
                <w:szCs w:val="24"/>
                <w:lang w:eastAsia="en-US"/>
                <w14:ligatures w14:val="standardContextual"/>
              </w:rPr>
              <w:t>Radio mikrofonu antenu spliteris Sennhei ser ASA 214 Sennheiser AD 3700 Procab CLV156/591AGB0</w:t>
            </w:r>
          </w:p>
        </w:tc>
      </w:tr>
      <w:tr w14:paraId="43345739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0EE7DB08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6FCA69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eastAsia="ArialMT" w:hAnsi="Times New Roman" w:cs="Times New Roman"/>
                <w:sz w:val="24"/>
                <w:szCs w:val="24"/>
                <w:lang w:eastAsia="en-US"/>
                <w14:ligatures w14:val="standardContextual"/>
              </w:rPr>
              <w:t>DPA ST2011C S Stereo mikrofons(5gab)</w:t>
            </w:r>
          </w:p>
        </w:tc>
      </w:tr>
      <w:tr w14:paraId="355047EE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4A030E88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725155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Pults Freekie controller</w:t>
            </w:r>
          </w:p>
        </w:tc>
      </w:tr>
      <w:tr w14:paraId="512008CB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63E441F6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46C365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SHURE SM58-LCE vokālais mikrofons</w:t>
            </w:r>
          </w:p>
        </w:tc>
      </w:tr>
      <w:tr w14:paraId="1E3165F2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54FE2C03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35EB47E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American skaņas pults</w:t>
            </w:r>
          </w:p>
        </w:tc>
      </w:tr>
      <w:tr w14:paraId="57B6D3D6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6820BB45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4ABD35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EUROLITE EDX-4R četru kanālu dimmeru bloks</w:t>
            </w:r>
          </w:p>
        </w:tc>
      </w:tr>
      <w:tr w14:paraId="5BE32601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1BE998A7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6B92055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  <w14:ligatures w14:val="standardContextual"/>
              </w:rPr>
              <w:t>LD Systems LDIo2 DI Box aktīvais</w:t>
            </w:r>
          </w:p>
        </w:tc>
      </w:tr>
      <w:tr w14:paraId="776C1425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3435E116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1208D1F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eastAsia="Times New Roman" w:hAnsi="Times New Roman" w:cs="Times New Roman"/>
                <w:sz w:val="24"/>
                <w:szCs w:val="24"/>
              </w:rPr>
              <w:t>Epson EB-PU1008B WUXGA Projector 1920x1200/8500Lm</w:t>
            </w:r>
          </w:p>
        </w:tc>
      </w:tr>
      <w:tr w14:paraId="569BE791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DF0440" w14:paraId="084DD5B7" w14:textId="7777777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40" w:rsidRPr="00DF0440" w:rsidP="00300BB3" w14:paraId="2D0C94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0">
              <w:rPr>
                <w:rFonts w:ascii="Times New Roman" w:eastAsia="Times New Roman" w:hAnsi="Times New Roman" w:cs="Times New Roman"/>
                <w:sz w:val="24"/>
                <w:szCs w:val="24"/>
              </w:rPr>
              <w:t>Epson Lens - ELPLU04 -G7000/L1000 Series ST1/S.N.</w:t>
            </w:r>
          </w:p>
        </w:tc>
      </w:tr>
      <w:tr w14:paraId="2163882F" w14:textId="77777777" w:rsidTr="00D37470">
        <w:tblPrEx>
          <w:tblW w:w="10348" w:type="dxa"/>
          <w:tblInd w:w="-147" w:type="dxa"/>
          <w:tblLayout w:type="fixed"/>
          <w:tblLook w:val="0400"/>
        </w:tblPrEx>
        <w:trPr>
          <w:trHeight w:val="351"/>
        </w:trPr>
        <w:tc>
          <w:tcPr>
            <w:tcW w:w="993" w:type="dxa"/>
            <w:shd w:val="clear" w:color="auto" w:fill="F6C6AD" w:themeFill="accent2" w:themeFillTint="66"/>
          </w:tcPr>
          <w:p w:rsidR="00DF0440" w:rsidRPr="00DF0440" w:rsidP="00300BB3" w14:paraId="360F9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5" w:type="dxa"/>
            <w:shd w:val="clear" w:color="auto" w:fill="F6C6AD" w:themeFill="accent2" w:themeFillTint="66"/>
          </w:tcPr>
          <w:p w:rsidR="00DF0440" w:rsidRPr="00D37470" w:rsidP="00300BB3" w14:paraId="0E6A5C4C" w14:textId="2853F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Vecsaule</w:t>
            </w:r>
          </w:p>
        </w:tc>
      </w:tr>
      <w:tr w14:paraId="1B8F4C35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D37470" w:rsidRPr="00DF0440" w:rsidP="00300BB3" w14:paraId="628FD191" w14:textId="6C8F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355" w:type="dxa"/>
          </w:tcPr>
          <w:p w:rsidR="00D37470" w:rsidRPr="00DF0440" w:rsidP="00300BB3" w14:paraId="42679A17" w14:textId="3E6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Sintezators Yamaha PSR-E443</w:t>
            </w:r>
          </w:p>
        </w:tc>
      </w:tr>
      <w:tr w14:paraId="6D5420CC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D37470" w:rsidRPr="00DF0440" w:rsidP="00300BB3" w14:paraId="4C85187E" w14:textId="6B4FB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355" w:type="dxa"/>
          </w:tcPr>
          <w:p w:rsidR="00D37470" w:rsidRPr="00DF0440" w:rsidP="00300BB3" w14:paraId="29098586" w14:textId="5F56B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SHURE SE35-TQG Headest Microphone performance condeser</w:t>
            </w:r>
          </w:p>
        </w:tc>
      </w:tr>
      <w:tr w14:paraId="709F477D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D37470" w:rsidRPr="00DF0440" w:rsidP="00300BB3" w14:paraId="18D8EE11" w14:textId="06D5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355" w:type="dxa"/>
          </w:tcPr>
          <w:p w:rsidR="00D37470" w:rsidRPr="00DF0440" w:rsidP="00300BB3" w14:paraId="5531BFFE" w14:textId="3717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LCD projektors SONYO PLC X</w:t>
            </w:r>
          </w:p>
        </w:tc>
      </w:tr>
      <w:tr w14:paraId="31845B26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D37470" w:rsidRPr="00DF0440" w:rsidP="00300BB3" w14:paraId="7116C5D4" w14:textId="22D3C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355" w:type="dxa"/>
          </w:tcPr>
          <w:p w:rsidR="00D37470" w:rsidRPr="00DF0440" w:rsidP="00300BB3" w14:paraId="11B03F98" w14:textId="450F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Epsone EB-W06 data projector  Portable projector 3700 ANSI lumens </w:t>
            </w:r>
          </w:p>
        </w:tc>
      </w:tr>
      <w:tr w14:paraId="2D1C87FA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D37470" w:rsidRPr="00DF0440" w:rsidP="00300BB3" w14:paraId="5889792E" w14:textId="6F5BC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355" w:type="dxa"/>
          </w:tcPr>
          <w:p w:rsidR="00D37470" w:rsidRPr="00DF0440" w:rsidP="00300BB3" w14:paraId="2CFAD079" w14:textId="7ECC8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Skaņas sistēma Muse M-1950</w:t>
            </w:r>
          </w:p>
        </w:tc>
      </w:tr>
      <w:tr w14:paraId="7BBBDCA2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D37470" w:rsidRPr="00DF0440" w:rsidP="00300BB3" w14:paraId="25E35C3F" w14:textId="45F28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9355" w:type="dxa"/>
          </w:tcPr>
          <w:p w:rsidR="00D37470" w:rsidRPr="00DF0440" w:rsidP="00300BB3" w14:paraId="1E569C6E" w14:textId="65FEC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Prožektoru  Dimmeru bloks Stairville D610H 6x 10A</w:t>
            </w:r>
          </w:p>
        </w:tc>
      </w:tr>
      <w:tr w14:paraId="635E0463" w14:textId="77777777" w:rsidTr="00640CD8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6C6AD" w:themeFill="accent2" w:themeFillTint="66"/>
          </w:tcPr>
          <w:p w:rsidR="00640CD8" w:rsidP="00300BB3" w14:paraId="1C1D8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5" w:type="dxa"/>
            <w:shd w:val="clear" w:color="auto" w:fill="F6C6AD" w:themeFill="accent2" w:themeFillTint="66"/>
          </w:tcPr>
          <w:p w:rsidR="00640CD8" w:rsidRPr="00640CD8" w:rsidP="00300BB3" w14:paraId="349C1853" w14:textId="4A24B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Dāviņi</w:t>
            </w:r>
          </w:p>
        </w:tc>
      </w:tr>
      <w:tr w14:paraId="4A46B229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640CD8" w:rsidP="00300BB3" w14:paraId="2E75BC0D" w14:textId="65B2B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355" w:type="dxa"/>
          </w:tcPr>
          <w:p w:rsidR="00640CD8" w:rsidP="00300BB3" w14:paraId="75BC0CDF" w14:textId="4C45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Pastiprinātājs Relpp Dominance 1400B</w:t>
            </w:r>
          </w:p>
        </w:tc>
      </w:tr>
      <w:tr w14:paraId="36ABD89F" w14:textId="77777777" w:rsidTr="007949CC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6C6AD" w:themeFill="accent2" w:themeFillTint="66"/>
          </w:tcPr>
          <w:p w:rsidR="007949CC" w:rsidRPr="007949CC" w:rsidP="00300BB3" w14:paraId="08EE7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55" w:type="dxa"/>
            <w:shd w:val="clear" w:color="auto" w:fill="F6C6AD" w:themeFill="accent2" w:themeFillTint="66"/>
          </w:tcPr>
          <w:p w:rsidR="007949CC" w:rsidRPr="007949CC" w:rsidP="00300BB3" w14:paraId="4005B98B" w14:textId="0555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Mežotne</w:t>
            </w:r>
          </w:p>
        </w:tc>
      </w:tr>
      <w:tr w14:paraId="7B5207C7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7949CC" w:rsidP="00300BB3" w14:paraId="41650F6F" w14:textId="76B2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355" w:type="dxa"/>
          </w:tcPr>
          <w:p w:rsidR="007949CC" w:rsidP="00300BB3" w14:paraId="5D0DF3E2" w14:textId="2AAB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Tumba JBL PRX618S</w:t>
            </w:r>
          </w:p>
        </w:tc>
      </w:tr>
      <w:tr w14:paraId="17748CD2" w14:textId="77777777" w:rsidTr="00D424EE">
        <w:tblPrEx>
          <w:tblW w:w="10348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7949CC" w:rsidP="00300BB3" w14:paraId="3FC3763C" w14:textId="346BB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355" w:type="dxa"/>
          </w:tcPr>
          <w:p w:rsidR="007949CC" w:rsidP="00300BB3" w14:paraId="489BAE25" w14:textId="476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PVX p TM 12 divjoslu skanda</w:t>
            </w:r>
          </w:p>
        </w:tc>
      </w:tr>
    </w:tbl>
    <w:p w:rsidR="00DF0440" w:rsidRPr="00414365" w:rsidP="00D424EE" w14:paraId="2EE5917B" w14:textId="327D6621">
      <w:pPr>
        <w:pStyle w:val="ListParagraph"/>
        <w:numPr>
          <w:ilvl w:val="0"/>
          <w:numId w:val="1"/>
        </w:numPr>
        <w:tabs>
          <w:tab w:val="left" w:pos="284"/>
          <w:tab w:val="left" w:pos="540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Pēc </w:t>
      </w:r>
      <w:r w:rsidR="00D424EE">
        <w:rPr>
          <w:rFonts w:ascii="Times New Roman" w:hAnsi="Times New Roman"/>
          <w:color w:val="000000"/>
          <w:sz w:val="24"/>
          <w:szCs w:val="24"/>
        </w:rPr>
        <w:t>Pasūtītāj</w:t>
      </w:r>
      <w:r>
        <w:rPr>
          <w:rFonts w:ascii="Times New Roman" w:hAnsi="Times New Roman"/>
          <w:color w:val="000000"/>
          <w:sz w:val="24"/>
          <w:szCs w:val="24"/>
        </w:rPr>
        <w:t>a un Pakalpojuma sniedzēja vienošanās Pasūtītājs var uzdot un Pakalpojuma sniedzējs var uzņemties sniegt P</w:t>
      </w:r>
      <w:r w:rsidRPr="00414365">
        <w:rPr>
          <w:rFonts w:ascii="Times New Roman" w:hAnsi="Times New Roman"/>
          <w:sz w:val="24"/>
          <w:szCs w:val="24"/>
        </w:rPr>
        <w:t xml:space="preserve">akalpojumu </w:t>
      </w:r>
      <w:r>
        <w:rPr>
          <w:rFonts w:ascii="Times New Roman" w:hAnsi="Times New Roman"/>
          <w:sz w:val="24"/>
          <w:szCs w:val="24"/>
        </w:rPr>
        <w:t>arī</w:t>
      </w:r>
      <w:r w:rsidRPr="00414365">
        <w:rPr>
          <w:rFonts w:ascii="Times New Roman" w:hAnsi="Times New Roman"/>
          <w:sz w:val="24"/>
          <w:szCs w:val="24"/>
        </w:rPr>
        <w:t xml:space="preserve"> </w:t>
      </w:r>
      <w:r w:rsidR="00D424EE">
        <w:rPr>
          <w:rFonts w:ascii="Times New Roman" w:hAnsi="Times New Roman"/>
          <w:sz w:val="24"/>
          <w:szCs w:val="24"/>
        </w:rPr>
        <w:t xml:space="preserve">1.tabulā </w:t>
      </w:r>
      <w:r>
        <w:rPr>
          <w:rFonts w:ascii="Times New Roman" w:hAnsi="Times New Roman"/>
          <w:sz w:val="24"/>
          <w:szCs w:val="24"/>
        </w:rPr>
        <w:t>ne</w:t>
      </w:r>
      <w:r w:rsidRPr="00414365">
        <w:rPr>
          <w:rFonts w:ascii="Times New Roman" w:hAnsi="Times New Roman"/>
          <w:sz w:val="24"/>
          <w:szCs w:val="24"/>
        </w:rPr>
        <w:t>norādīta</w:t>
      </w:r>
      <w:r>
        <w:rPr>
          <w:rFonts w:ascii="Times New Roman" w:hAnsi="Times New Roman"/>
          <w:sz w:val="24"/>
          <w:szCs w:val="24"/>
        </w:rPr>
        <w:t>i Aparatūrai.</w:t>
      </w:r>
    </w:p>
    <w:p w:rsidR="00E442CE" w:rsidRPr="004E568E" w:rsidP="00E442CE" w14:paraId="049864B4" w14:textId="5D4BAC5A">
      <w:pPr>
        <w:pStyle w:val="ListParagraph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Pakalpojuma sniedzējs sniedz</w:t>
      </w:r>
      <w:r w:rsidRPr="00414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Pakalpojumu servisa telpās, kas atrodas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 </w:t>
      </w:r>
      <w:r w:rsidRPr="001D2475">
        <w:rPr>
          <w:rFonts w:ascii="Times New Roman" w:eastAsia="Times New Roman" w:hAnsi="Times New Roman" w:cs="Times New Roman"/>
          <w:bCs/>
          <w:sz w:val="24"/>
          <w:szCs w:val="24"/>
        </w:rPr>
        <w:t xml:space="preserve">tālāk kā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Pr="001D2475">
        <w:rPr>
          <w:rFonts w:ascii="Times New Roman" w:eastAsia="Times New Roman" w:hAnsi="Times New Roman" w:cs="Times New Roman"/>
          <w:bCs/>
          <w:sz w:val="24"/>
          <w:szCs w:val="24"/>
        </w:rPr>
        <w:t xml:space="preserve"> km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Bauskas apvienības pārvaldes Uzvaras ielā 6, Bauskā, Bauskas nov.</w:t>
      </w:r>
      <w:r w:rsidRPr="00E152F0">
        <w:rPr>
          <w:rFonts w:ascii="Times New Roman" w:hAnsi="Times New Roman" w:cs="Times New Roman"/>
          <w:sz w:val="24"/>
          <w:szCs w:val="24"/>
        </w:rPr>
        <w:t xml:space="preserve"> 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 xml:space="preserve">Pasūtītājam ir tiesības veikt pretendenta norādītā attāluma pareizības pārbaudi (interneta vietnes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 xml:space="preserve"> sadaļas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 xml:space="preserve"> piedāvātais rīks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>Saņemt norādes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 xml:space="preserve"> un tā apakšrīks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“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>Ar automašīnu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152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0440" w:rsidRPr="00414365" w:rsidP="00D424EE" w14:paraId="380ADCCC" w14:textId="61664CC5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 xml:space="preserve">Pasūtītāja pilnvarotā persona piesaka </w:t>
      </w:r>
      <w:r w:rsidR="00FB317A">
        <w:rPr>
          <w:rFonts w:ascii="Times New Roman" w:hAnsi="Times New Roman"/>
          <w:color w:val="000000"/>
          <w:sz w:val="24"/>
          <w:szCs w:val="24"/>
        </w:rPr>
        <w:t xml:space="preserve">Pakalpojumu </w:t>
      </w:r>
      <w:r w:rsidRPr="00414365">
        <w:rPr>
          <w:rFonts w:ascii="Times New Roman" w:hAnsi="Times New Roman"/>
          <w:color w:val="000000"/>
          <w:sz w:val="24"/>
          <w:szCs w:val="24"/>
        </w:rPr>
        <w:t>telefoniski vai nosūtot pieteikumu uz Izpildītāja e-pasta adresi.</w:t>
      </w:r>
      <w:r w:rsidR="00E442CE">
        <w:rPr>
          <w:rFonts w:ascii="Times New Roman" w:hAnsi="Times New Roman"/>
          <w:color w:val="000000"/>
          <w:sz w:val="24"/>
          <w:szCs w:val="24"/>
        </w:rPr>
        <w:t xml:space="preserve"> Pakalpojums sniedzējs informē Pasūtītāja pilnvaroto personu par aparatūras pieņemšanas laiku.</w:t>
      </w:r>
    </w:p>
    <w:p w:rsidR="00DF0440" w:rsidRPr="00414365" w:rsidP="00D424EE" w14:paraId="13E8C12B" w14:textId="5B61C3F4">
      <w:pPr>
        <w:pStyle w:val="ListParagraph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Pakalpojuma sniedzējam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jāpieņem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paratūra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ne vēlāk kā </w:t>
      </w:r>
      <w:r w:rsidRPr="00703728">
        <w:rPr>
          <w:rFonts w:ascii="Times New Roman" w:hAnsi="Times New Roman"/>
          <w:color w:val="000000"/>
          <w:sz w:val="24"/>
          <w:szCs w:val="24"/>
        </w:rPr>
        <w:t xml:space="preserve">5 darba dienu laikā no pieteikuma saņemšanas </w:t>
      </w:r>
      <w:r>
        <w:rPr>
          <w:rFonts w:ascii="Times New Roman" w:hAnsi="Times New Roman"/>
          <w:color w:val="000000"/>
          <w:sz w:val="24"/>
          <w:szCs w:val="24"/>
        </w:rPr>
        <w:t>dienas</w:t>
      </w:r>
      <w:r>
        <w:rPr>
          <w:rFonts w:ascii="Times New Roman" w:hAnsi="Times New Roman"/>
          <w:color w:val="000000"/>
          <w:sz w:val="24"/>
          <w:szCs w:val="24"/>
        </w:rPr>
        <w:t xml:space="preserve"> un Pakalpojuma izpilde </w:t>
      </w:r>
      <w:r w:rsidR="00E442CE">
        <w:rPr>
          <w:rFonts w:ascii="Times New Roman" w:hAnsi="Times New Roman"/>
          <w:color w:val="000000"/>
          <w:sz w:val="24"/>
          <w:szCs w:val="24"/>
        </w:rPr>
        <w:t>jānodrošina</w:t>
      </w:r>
      <w:r>
        <w:rPr>
          <w:rFonts w:ascii="Times New Roman" w:hAnsi="Times New Roman"/>
          <w:color w:val="000000"/>
          <w:sz w:val="24"/>
          <w:szCs w:val="24"/>
        </w:rPr>
        <w:t xml:space="preserve"> ne ilgāk kā </w:t>
      </w:r>
      <w:r w:rsidR="001128B9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128B9">
        <w:rPr>
          <w:rFonts w:ascii="Times New Roman" w:hAnsi="Times New Roman"/>
          <w:color w:val="000000"/>
          <w:sz w:val="24"/>
          <w:szCs w:val="24"/>
        </w:rPr>
        <w:t>desmit</w:t>
      </w:r>
      <w:r>
        <w:rPr>
          <w:rFonts w:ascii="Times New Roman" w:hAnsi="Times New Roman"/>
          <w:color w:val="000000"/>
          <w:sz w:val="24"/>
          <w:szCs w:val="24"/>
        </w:rPr>
        <w:t>) darba dienu laikā.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F0440" w:rsidRPr="004E568E" w:rsidP="00D424EE" w14:paraId="427A0B54" w14:textId="0AA257B3">
      <w:pPr>
        <w:pStyle w:val="ListParagraph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 nogādā Aparatūru Pakalpojuma sniedzējam un Pakalpojuma sniedzējs </w:t>
      </w:r>
      <w:r w:rsidRPr="004E568E">
        <w:rPr>
          <w:rFonts w:ascii="Times New Roman" w:eastAsia="Times New Roman" w:hAnsi="Times New Roman" w:cs="Times New Roman"/>
          <w:bCs/>
          <w:sz w:val="24"/>
          <w:szCs w:val="24"/>
        </w:rPr>
        <w:t>ne vēlāk kā 24 (</w:t>
      </w:r>
      <w:r w:rsidRPr="004E56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divdesmit četru</w:t>
      </w:r>
      <w:r w:rsidRPr="004E568E">
        <w:rPr>
          <w:rFonts w:ascii="Times New Roman" w:eastAsia="Times New Roman" w:hAnsi="Times New Roman" w:cs="Times New Roman"/>
          <w:bCs/>
          <w:sz w:val="24"/>
          <w:szCs w:val="24"/>
        </w:rPr>
        <w:t xml:space="preserve">) stundu laikā pēc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Aparatūras </w:t>
      </w:r>
      <w:r w:rsidRPr="004E568E">
        <w:rPr>
          <w:rFonts w:ascii="Times New Roman" w:eastAsia="Times New Roman" w:hAnsi="Times New Roman" w:cs="Times New Roman"/>
          <w:bCs/>
          <w:sz w:val="24"/>
          <w:szCs w:val="24"/>
        </w:rPr>
        <w:t xml:space="preserve"> pieņemšanas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nosūta Pasūtītāja pilnvarotajai personai uz e-pasta adresi saskaņošanai</w:t>
      </w:r>
      <w:r w:rsidRPr="004E568E">
        <w:rPr>
          <w:rFonts w:ascii="Times New Roman" w:hAnsi="Times New Roman" w:cs="Times New Roman"/>
          <w:sz w:val="24"/>
          <w:szCs w:val="24"/>
        </w:rPr>
        <w:t xml:space="preserve"> detalizētu </w:t>
      </w:r>
      <w:r>
        <w:rPr>
          <w:rFonts w:ascii="Times New Roman" w:hAnsi="Times New Roman" w:cs="Times New Roman"/>
          <w:color w:val="000000"/>
          <w:sz w:val="24"/>
          <w:szCs w:val="24"/>
        </w:rPr>
        <w:t>Pakalpojuma</w:t>
      </w:r>
      <w:r w:rsidRPr="004E568E">
        <w:rPr>
          <w:rFonts w:ascii="Times New Roman" w:hAnsi="Times New Roman" w:cs="Times New Roman"/>
          <w:sz w:val="24"/>
          <w:szCs w:val="24"/>
        </w:rPr>
        <w:t xml:space="preserve"> izmaksu tāmi</w:t>
      </w:r>
      <w:r>
        <w:rPr>
          <w:rFonts w:ascii="Times New Roman" w:hAnsi="Times New Roman" w:cs="Times New Roman"/>
          <w:sz w:val="24"/>
          <w:szCs w:val="24"/>
        </w:rPr>
        <w:t xml:space="preserve">. Tāmē </w:t>
      </w:r>
      <w:r w:rsidRPr="004E568E" w:rsidR="006369E9">
        <w:rPr>
          <w:rFonts w:ascii="Times New Roman" w:eastAsia="Times New Roman" w:hAnsi="Times New Roman" w:cs="Times New Roman"/>
          <w:bCs/>
          <w:sz w:val="24"/>
          <w:szCs w:val="24"/>
        </w:rPr>
        <w:t>norādot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68E" w:rsidR="006369E9">
        <w:rPr>
          <w:rFonts w:ascii="Times New Roman" w:eastAsia="Times New Roman" w:hAnsi="Times New Roman" w:cs="Times New Roman"/>
          <w:bCs/>
          <w:sz w:val="24"/>
          <w:szCs w:val="24"/>
        </w:rPr>
        <w:t>darbu nosaukumus, paredzēto darba stundu skaitu, servisa izmaksas, rezerves daļu cenas, un darba izpildes termiņu.</w:t>
      </w:r>
    </w:p>
    <w:p w:rsidR="001128B9" w:rsidP="001128B9" w14:paraId="6DAACDED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izpildi Pakalpojuma sniedzējs</w:t>
      </w:r>
      <w:r w:rsidRPr="00ED0A5A" w:rsidR="00DF0440">
        <w:rPr>
          <w:rFonts w:ascii="Times New Roman" w:hAnsi="Times New Roman" w:cs="Times New Roman"/>
          <w:color w:val="000000"/>
          <w:sz w:val="24"/>
          <w:szCs w:val="24"/>
        </w:rPr>
        <w:t xml:space="preserve"> uzsākt</w:t>
      </w:r>
      <w:r w:rsidR="006369E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D0A5A" w:rsidR="00DF0440">
        <w:rPr>
          <w:rFonts w:ascii="Times New Roman" w:hAnsi="Times New Roman" w:cs="Times New Roman"/>
          <w:color w:val="000000"/>
          <w:sz w:val="24"/>
          <w:szCs w:val="24"/>
        </w:rPr>
        <w:t xml:space="preserve"> tikai pēc </w:t>
      </w:r>
      <w:r w:rsidRPr="00ED0A5A" w:rsidR="00DF0440">
        <w:rPr>
          <w:rFonts w:ascii="Times New Roman" w:hAnsi="Times New Roman" w:cs="Times New Roman"/>
          <w:sz w:val="24"/>
          <w:szCs w:val="24"/>
        </w:rPr>
        <w:t xml:space="preserve">Pasūtītāja pilnvarotās personas </w:t>
      </w:r>
      <w:r w:rsidRPr="00ED0A5A" w:rsidR="00DF0440">
        <w:rPr>
          <w:rFonts w:ascii="Times New Roman" w:hAnsi="Times New Roman" w:cs="Times New Roman"/>
          <w:color w:val="000000"/>
          <w:sz w:val="24"/>
          <w:szCs w:val="24"/>
        </w:rPr>
        <w:t xml:space="preserve">tāmes saskaņošanas. </w:t>
      </w:r>
    </w:p>
    <w:p w:rsidR="001128B9" w:rsidP="001128B9" w14:paraId="62EDC531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Pakalpojuma sniedzējs apņemas Pakalpojuma izpildi uzticēt tikai</w:t>
      </w:r>
      <w:r w:rsidRPr="001128B9" w:rsidR="004E5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darbiniek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am</w:t>
      </w:r>
      <w:r w:rsidRPr="001128B9" w:rsidR="004E5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ar atbilstošām zināšanām un praktiskām iemaņām.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Pakalpojums sniedzam ievērojot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Aparatūras ražotāja </w:t>
      </w:r>
      <w:r w:rsidRPr="001128B9" w:rsidR="004E56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prasīb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as.</w:t>
      </w:r>
    </w:p>
    <w:p w:rsidR="001128B9" w:rsidP="001128B9" w14:paraId="67C226EC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8B9">
        <w:rPr>
          <w:rFonts w:ascii="Times New Roman" w:hAnsi="Times New Roman" w:cs="Times New Roman"/>
          <w:sz w:val="24"/>
          <w:szCs w:val="24"/>
        </w:rPr>
        <w:t xml:space="preserve">Pakalpojumu </w:t>
      </w:r>
      <w:r>
        <w:rPr>
          <w:rFonts w:ascii="Times New Roman" w:hAnsi="Times New Roman" w:cs="Times New Roman"/>
          <w:sz w:val="24"/>
          <w:szCs w:val="24"/>
        </w:rPr>
        <w:t>izpildītājs nodrošina</w:t>
      </w:r>
      <w:r w:rsidRPr="001128B9">
        <w:rPr>
          <w:rFonts w:ascii="Times New Roman" w:hAnsi="Times New Roman" w:cs="Times New Roman"/>
          <w:sz w:val="24"/>
          <w:szCs w:val="24"/>
        </w:rPr>
        <w:t xml:space="preserve"> </w:t>
      </w:r>
      <w:r w:rsidRPr="001128B9" w:rsidR="00DF0440">
        <w:rPr>
          <w:rFonts w:ascii="Times New Roman" w:hAnsi="Times New Roman" w:cs="Times New Roman"/>
          <w:sz w:val="24"/>
          <w:szCs w:val="24"/>
        </w:rPr>
        <w:t>Pakalpojumu izpildei nepieciešamo rezerves daļu un materiālu pasūtīšanu un bez priekšapmaksas</w:t>
      </w:r>
      <w:r>
        <w:rPr>
          <w:rFonts w:ascii="Times New Roman" w:hAnsi="Times New Roman" w:cs="Times New Roman"/>
          <w:sz w:val="24"/>
          <w:szCs w:val="24"/>
        </w:rPr>
        <w:t>, un</w:t>
      </w:r>
      <w:r w:rsidRPr="00112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salūzušo rezerves daļu un materiālu utilizāciju bez maksas.</w:t>
      </w:r>
    </w:p>
    <w:p w:rsidR="001128B9" w:rsidP="001128B9" w14:paraId="7D246FC4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8B9">
        <w:rPr>
          <w:rFonts w:ascii="Times New Roman" w:eastAsia="Times New Roman" w:hAnsi="Times New Roman" w:cs="Times New Roman"/>
          <w:bCs/>
          <w:sz w:val="24"/>
          <w:szCs w:val="24"/>
        </w:rPr>
        <w:t xml:space="preserve">Pēc Pakalpojumu izpildes Pasūtītāja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pilnvarotā persona pieņem Aparatūru parakstot</w:t>
      </w:r>
      <w:r w:rsidRPr="001128B9">
        <w:rPr>
          <w:rFonts w:ascii="Times New Roman" w:eastAsia="Times New Roman" w:hAnsi="Times New Roman" w:cs="Times New Roman"/>
          <w:bCs/>
          <w:sz w:val="24"/>
          <w:szCs w:val="24"/>
        </w:rPr>
        <w:t xml:space="preserve"> Pieņemšanas-Nodošanas aktu. </w:t>
      </w:r>
    </w:p>
    <w:p w:rsidR="00E775C5" w:rsidRPr="00E775C5" w:rsidP="00E775C5" w14:paraId="08FBA531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sz w:val="24"/>
          <w:szCs w:val="24"/>
        </w:rPr>
      </w:pPr>
      <w:r w:rsidRPr="001128B9">
        <w:rPr>
          <w:rFonts w:ascii="Times New Roman" w:hAnsi="Times New Roman" w:cs="Times New Roman"/>
          <w:color w:val="000000"/>
          <w:sz w:val="24"/>
          <w:szCs w:val="24"/>
        </w:rPr>
        <w:t xml:space="preserve">Par veikto Darbu </w:t>
      </w:r>
      <w:r w:rsidR="001128B9">
        <w:rPr>
          <w:rFonts w:ascii="Times New Roman" w:hAnsi="Times New Roman" w:cs="Times New Roman"/>
          <w:color w:val="000000"/>
          <w:sz w:val="24"/>
          <w:szCs w:val="24"/>
        </w:rPr>
        <w:t>Pakalpojuma sniedzējs pēc Pieņemšanas – Nodošanas akta abpusējas parakstīšanas</w:t>
      </w:r>
      <w:r w:rsidRPr="001128B9">
        <w:rPr>
          <w:rFonts w:ascii="Times New Roman" w:hAnsi="Times New Roman" w:cs="Times New Roman"/>
          <w:color w:val="000000"/>
          <w:sz w:val="24"/>
          <w:szCs w:val="24"/>
        </w:rPr>
        <w:t xml:space="preserve"> izraksta rēķinu atbilstoši saskaņotajai Darbu izmaksu tāmei.</w:t>
      </w:r>
    </w:p>
    <w:p w:rsidR="00E775C5" w:rsidP="00E775C5" w14:paraId="55D2BCFB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sz w:val="24"/>
          <w:szCs w:val="24"/>
        </w:rPr>
      </w:pPr>
      <w:r w:rsidRPr="00E775C5">
        <w:rPr>
          <w:rFonts w:ascii="Times New Roman" w:hAnsi="Times New Roman"/>
          <w:sz w:val="24"/>
          <w:szCs w:val="24"/>
        </w:rPr>
        <w:t>Izpildītājs nodrošina garantijas par paveiktajiem darbiem un uzstādītajām rezerves daļām. Garantiju apmēru un ilgumu nosaka  atkarībā no veicamo darbu specifikas un uzstādītajām rezerves daļām, bet ne mazāk kā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5C5">
        <w:rPr>
          <w:rFonts w:ascii="Times New Roman" w:hAnsi="Times New Roman"/>
          <w:sz w:val="24"/>
          <w:szCs w:val="24"/>
        </w:rPr>
        <w:t>12.mēnešus analogajām rezerves daļām, ņemot vērā to dabisko nolietojumu;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5C5">
        <w:rPr>
          <w:rFonts w:ascii="Times New Roman" w:hAnsi="Times New Roman"/>
          <w:sz w:val="24"/>
          <w:szCs w:val="24"/>
        </w:rPr>
        <w:t>24 mēnešu oriģinālajām rezerves daļām, ņemot vērā to dabisko nolietojumu.</w:t>
      </w:r>
    </w:p>
    <w:p w:rsidR="00E775C5" w:rsidP="00E775C5" w14:paraId="032DD1D7" w14:textId="77777777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sz w:val="24"/>
          <w:szCs w:val="24"/>
        </w:rPr>
      </w:pPr>
      <w:r w:rsidRPr="00E775C5">
        <w:rPr>
          <w:rFonts w:ascii="Times New Roman" w:eastAsia="Times New Roman" w:hAnsi="Times New Roman" w:cs="Times New Roman"/>
          <w:bCs/>
          <w:sz w:val="24"/>
          <w:szCs w:val="24"/>
        </w:rPr>
        <w:t>Garantijas laiku skaita no pieņemšanas – nodošanas akta parakstīšanas dienas.</w:t>
      </w:r>
    </w:p>
    <w:p w:rsidR="00DF0440" w:rsidRPr="00E775C5" w:rsidP="00E775C5" w14:paraId="4FED19C1" w14:textId="4B9DE382">
      <w:pPr>
        <w:numPr>
          <w:ilvl w:val="0"/>
          <w:numId w:val="1"/>
        </w:numPr>
        <w:spacing w:after="0" w:line="240" w:lineRule="auto"/>
        <w:ind w:left="284" w:hanging="323"/>
        <w:jc w:val="both"/>
        <w:rPr>
          <w:rFonts w:ascii="Times New Roman" w:hAnsi="Times New Roman" w:cs="Times New Roman"/>
          <w:sz w:val="24"/>
          <w:szCs w:val="24"/>
        </w:rPr>
      </w:pPr>
      <w:r w:rsidRPr="00E775C5">
        <w:rPr>
          <w:rFonts w:ascii="Times New Roman" w:hAnsi="Times New Roman"/>
          <w:sz w:val="24"/>
          <w:szCs w:val="24"/>
        </w:rPr>
        <w:t xml:space="preserve">Ja </w:t>
      </w:r>
      <w:r w:rsidRPr="00E775C5" w:rsidR="00E775C5">
        <w:rPr>
          <w:rFonts w:ascii="Times New Roman" w:hAnsi="Times New Roman"/>
          <w:sz w:val="24"/>
          <w:szCs w:val="24"/>
        </w:rPr>
        <w:t xml:space="preserve">Pakalpojuma sniedzējs sniedz nekvalitatīvu pakalpojumu </w:t>
      </w:r>
      <w:r w:rsidRPr="00E775C5">
        <w:rPr>
          <w:rFonts w:ascii="Times New Roman" w:hAnsi="Times New Roman"/>
          <w:sz w:val="24"/>
          <w:szCs w:val="24"/>
        </w:rPr>
        <w:t xml:space="preserve">t.i. nav novērsti visi defekti, par kuru   novēršanu puses vienojušās pirms remontu uzsākšanas vai aparatūras garantijas perioda laikā rodas identisks bojājums nekvalitatīvu darbu veikšanas dēļ, </w:t>
      </w:r>
      <w:r w:rsidRPr="00E775C5" w:rsidR="00E775C5">
        <w:rPr>
          <w:rFonts w:ascii="Times New Roman" w:hAnsi="Times New Roman"/>
          <w:sz w:val="24"/>
          <w:szCs w:val="24"/>
        </w:rPr>
        <w:t>Pakalpojuma sniedzējs</w:t>
      </w:r>
      <w:r w:rsidRPr="00E775C5">
        <w:rPr>
          <w:rFonts w:ascii="Times New Roman" w:hAnsi="Times New Roman"/>
          <w:sz w:val="24"/>
          <w:szCs w:val="24"/>
        </w:rPr>
        <w:t xml:space="preserve"> novērš konstatētos defektus par saviem līdzekļiem  ne vēlāk kā  2 darba dienu laikā no pretenzijas pieteikšanas dienas</w:t>
      </w:r>
      <w:r w:rsidRPr="00E775C5" w:rsidR="00E775C5">
        <w:rPr>
          <w:rFonts w:ascii="Times New Roman" w:hAnsi="Times New Roman"/>
          <w:sz w:val="24"/>
          <w:szCs w:val="24"/>
        </w:rPr>
        <w:t xml:space="preserve">. </w:t>
      </w:r>
    </w:p>
    <w:sectPr w:rsidSect="004E568E">
      <w:footerReference w:type="default" r:id="rId4"/>
      <w:footerReference w:type="first" r:id="rId5"/>
      <w:pgSz w:w="12758" w:h="15842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EE1C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D4338C2"/>
    <w:multiLevelType w:val="multilevel"/>
    <w:tmpl w:val="591862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E58D0"/>
    <w:multiLevelType w:val="hybridMultilevel"/>
    <w:tmpl w:val="B1DE15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85423">
    <w:abstractNumId w:val="3"/>
  </w:num>
  <w:num w:numId="2" w16cid:durableId="1180198051">
    <w:abstractNumId w:val="1"/>
  </w:num>
  <w:num w:numId="3" w16cid:durableId="360713015">
    <w:abstractNumId w:val="4"/>
  </w:num>
  <w:num w:numId="4" w16cid:durableId="482234323">
    <w:abstractNumId w:val="0"/>
  </w:num>
  <w:num w:numId="5" w16cid:durableId="1705131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542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40"/>
    <w:rsid w:val="00066C3B"/>
    <w:rsid w:val="001128B9"/>
    <w:rsid w:val="00114925"/>
    <w:rsid w:val="001D2475"/>
    <w:rsid w:val="001D6390"/>
    <w:rsid w:val="00255C54"/>
    <w:rsid w:val="002D5E58"/>
    <w:rsid w:val="00300BB3"/>
    <w:rsid w:val="00414365"/>
    <w:rsid w:val="004725B5"/>
    <w:rsid w:val="004B71C9"/>
    <w:rsid w:val="004D21F4"/>
    <w:rsid w:val="004E568E"/>
    <w:rsid w:val="00513183"/>
    <w:rsid w:val="006369E9"/>
    <w:rsid w:val="00640CD8"/>
    <w:rsid w:val="00703728"/>
    <w:rsid w:val="007949CC"/>
    <w:rsid w:val="00800DFF"/>
    <w:rsid w:val="009E04E6"/>
    <w:rsid w:val="00A9724F"/>
    <w:rsid w:val="00B52F75"/>
    <w:rsid w:val="00C837AF"/>
    <w:rsid w:val="00D37470"/>
    <w:rsid w:val="00D424EE"/>
    <w:rsid w:val="00DE15F0"/>
    <w:rsid w:val="00DF0440"/>
    <w:rsid w:val="00DF4608"/>
    <w:rsid w:val="00E120FB"/>
    <w:rsid w:val="00E152F0"/>
    <w:rsid w:val="00E442CE"/>
    <w:rsid w:val="00E775C5"/>
    <w:rsid w:val="00ED0A5A"/>
    <w:rsid w:val="00F13F5C"/>
    <w:rsid w:val="00F46265"/>
    <w:rsid w:val="00F73F9E"/>
    <w:rsid w:val="00FB317A"/>
    <w:rsid w:val="00FF7C92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60D6B"/>
  <w15:chartTrackingRefBased/>
  <w15:docId w15:val="{F318AF99-E814-4224-B7A0-4B668398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44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DF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DF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DF0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DF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DF0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DF0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DF0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DF0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DF0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DF0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DF0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DF0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DF044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DF044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DF044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DF044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DF044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DF0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DF0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DF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DF0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DF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DF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DF0440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DF0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DF0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DF0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440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DF0440"/>
  </w:style>
  <w:style w:type="table" w:customStyle="1" w:styleId="a2">
    <w:name w:val="a2"/>
    <w:basedOn w:val="TableNormal"/>
    <w:rsid w:val="00DF044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 Mākulēns</dc:creator>
  <cp:lastModifiedBy>PP-MEZOTNE</cp:lastModifiedBy>
  <cp:revision>10</cp:revision>
  <dcterms:created xsi:type="dcterms:W3CDTF">2026-02-13T09:09:00Z</dcterms:created>
  <dcterms:modified xsi:type="dcterms:W3CDTF">2026-02-23T12:30:00Z</dcterms:modified>
</cp:coreProperties>
</file>