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175493" w:rsidRPr="00D05FE5" w:rsidP="00BF2F03" w14:paraId="63CB955B" w14:textId="77777777">
      <w:pPr>
        <w:pStyle w:val="NormalWeb"/>
        <w:spacing w:before="0" w:beforeAutospacing="0" w:after="0" w:afterAutospacing="0"/>
        <w:jc w:val="center"/>
        <w:rPr>
          <w:rFonts w:ascii="Times New Roman" w:hAnsi="Times New Roman"/>
          <w:color w:val="auto"/>
          <w:sz w:val="24"/>
          <w:szCs w:val="24"/>
        </w:rPr>
      </w:pPr>
      <w:r w:rsidRPr="00D05FE5">
        <w:rPr>
          <w:rFonts w:ascii="Times New Roman" w:hAnsi="Times New Roman"/>
          <w:color w:val="auto"/>
          <w:sz w:val="24"/>
          <w:szCs w:val="24"/>
        </w:rPr>
        <w:t>Rīgā</w:t>
      </w:r>
    </w:p>
    <w:p w:rsidR="00C86A0F" w:rsidRPr="00D05FE5" w:rsidP="00BF2F03" w14:paraId="142DB773" w14:textId="77777777">
      <w:pPr>
        <w:pStyle w:val="NormalWeb"/>
        <w:spacing w:before="0" w:beforeAutospacing="0" w:after="0" w:afterAutospacing="0"/>
        <w:jc w:val="center"/>
        <w:rPr>
          <w:rFonts w:ascii="Times New Roman" w:hAnsi="Times New Roman"/>
          <w:color w:val="auto"/>
          <w:sz w:val="24"/>
          <w:szCs w:val="24"/>
        </w:rPr>
      </w:pPr>
    </w:p>
    <w:tbl>
      <w:tblPr>
        <w:tblW w:w="0" w:type="auto"/>
        <w:tblLook w:val="04A0"/>
      </w:tblPr>
      <w:tblGrid>
        <w:gridCol w:w="2943"/>
      </w:tblGrid>
      <w:tr w14:paraId="2FA5D63D" w14:textId="77777777" w:rsidTr="00910BE2">
        <w:tblPrEx>
          <w:tblW w:w="0" w:type="auto"/>
          <w:tblLook w:val="04A0"/>
        </w:tblPrEx>
        <w:tc>
          <w:tcPr>
            <w:tcW w:w="2943" w:type="dxa"/>
          </w:tcPr>
          <w:p w:rsidR="00D06880" w:rsidRPr="00D05FE5" w:rsidP="00910BE2" w14:paraId="38E38621" w14:textId="37FF83C2">
            <w:pPr>
              <w:pStyle w:val="NormalWeb"/>
              <w:spacing w:before="0" w:beforeAutospacing="0" w:after="0" w:afterAutospacing="0"/>
              <w:jc w:val="center"/>
              <w:rPr>
                <w:rFonts w:ascii="Times New Roman" w:hAnsi="Times New Roman"/>
                <w:color w:val="auto"/>
                <w:sz w:val="22"/>
                <w:szCs w:val="22"/>
              </w:rPr>
            </w:pPr>
            <w:r w:rsidRPr="00D05FE5">
              <w:rPr>
                <w:rFonts w:ascii="Times New Roman" w:hAnsi="Times New Roman"/>
                <w:noProof/>
                <w:sz w:val="22"/>
                <w:szCs w:val="22"/>
              </w:rPr>
              <w:t>12.01.2026</w:t>
            </w:r>
          </w:p>
        </w:tc>
      </w:tr>
    </w:tbl>
    <w:p w:rsidR="00D06880" w:rsidRPr="00D05FE5" w:rsidP="00C31405" w14:paraId="308CD2EA" w14:textId="77777777">
      <w:pPr>
        <w:widowControl/>
        <w:tabs>
          <w:tab w:val="right" w:pos="1418"/>
          <w:tab w:val="left" w:pos="1701"/>
        </w:tabs>
        <w:spacing w:after="0" w:line="240" w:lineRule="auto"/>
        <w:jc w:val="right"/>
        <w:rPr>
          <w:rFonts w:ascii="Times New Roman" w:eastAsia="Times New Roman" w:hAnsi="Times New Roman"/>
          <w:b/>
          <w:sz w:val="24"/>
          <w:szCs w:val="24"/>
          <w:lang w:val="lv-LV"/>
        </w:rPr>
      </w:pPr>
    </w:p>
    <w:p w:rsidR="00D06880" w:rsidRPr="00D05FE5" w:rsidP="00C31405" w14:paraId="5876E256" w14:textId="77777777">
      <w:pPr>
        <w:widowControl/>
        <w:tabs>
          <w:tab w:val="right" w:pos="1418"/>
          <w:tab w:val="left" w:pos="1701"/>
        </w:tabs>
        <w:spacing w:after="0" w:line="240" w:lineRule="auto"/>
        <w:jc w:val="right"/>
        <w:rPr>
          <w:rFonts w:ascii="Times New Roman" w:eastAsia="Times New Roman" w:hAnsi="Times New Roman"/>
          <w:b/>
          <w:sz w:val="24"/>
          <w:szCs w:val="24"/>
          <w:lang w:val="lv-LV"/>
        </w:rPr>
      </w:pPr>
    </w:p>
    <w:tbl>
      <w:tblPr>
        <w:tblW w:w="0" w:type="auto"/>
        <w:jc w:val="center"/>
        <w:tblLook w:val="04A0"/>
      </w:tblPr>
      <w:tblGrid>
        <w:gridCol w:w="5103"/>
      </w:tblGrid>
      <w:tr w14:paraId="71926A57" w14:textId="77777777" w:rsidTr="00D06880">
        <w:tblPrEx>
          <w:tblW w:w="0" w:type="auto"/>
          <w:tblLook w:val="04A0"/>
        </w:tblPrEx>
        <w:tc>
          <w:tcPr>
            <w:tcW w:w="5103" w:type="dxa"/>
          </w:tcPr>
          <w:p w:rsidR="00D06880" w:rsidRPr="00D05FE5" w:rsidP="007218BB" w14:paraId="6A9F0512" w14:textId="1140E3F8">
            <w:pPr>
              <w:pStyle w:val="NormalWeb"/>
              <w:spacing w:before="0" w:beforeAutospacing="0" w:after="0" w:afterAutospacing="0"/>
              <w:jc w:val="center"/>
              <w:rPr>
                <w:rFonts w:ascii="Times New Roman" w:hAnsi="Times New Roman"/>
                <w:b/>
                <w:bCs/>
                <w:color w:val="000000" w:themeColor="text1"/>
                <w:sz w:val="28"/>
                <w:szCs w:val="28"/>
              </w:rPr>
            </w:pPr>
            <w:r w:rsidRPr="00D05FE5">
              <w:rPr>
                <w:rFonts w:ascii="Times New Roman" w:hAnsi="Times New Roman"/>
                <w:b/>
                <w:bCs/>
                <w:color w:val="000000" w:themeColor="text1"/>
                <w:sz w:val="28"/>
                <w:szCs w:val="28"/>
              </w:rPr>
              <w:t>Lēmums Nr.</w:t>
            </w:r>
            <w:r w:rsidRPr="00D05FE5">
              <w:rPr>
                <w:rFonts w:ascii="Times New Roman" w:hAnsi="Times New Roman"/>
                <w:b/>
                <w:bCs/>
                <w:noProof/>
                <w:color w:val="000000" w:themeColor="text1"/>
                <w:sz w:val="28"/>
                <w:szCs w:val="28"/>
              </w:rPr>
              <w:t>11.17/AP</w:t>
            </w:r>
            <w:r w:rsidRPr="00D05FE5">
              <w:rPr>
                <w:rFonts w:ascii="Times New Roman" w:hAnsi="Times New Roman"/>
                <w:b/>
                <w:bCs/>
                <w:noProof/>
                <w:color w:val="000000" w:themeColor="text1"/>
                <w:sz w:val="28"/>
                <w:szCs w:val="28"/>
              </w:rPr>
              <w:t>/213/2026</w:t>
            </w:r>
          </w:p>
        </w:tc>
      </w:tr>
    </w:tbl>
    <w:p w:rsidR="00D06880" w:rsidRPr="00D05FE5" w:rsidP="00D06880" w14:paraId="507CF288" w14:textId="77777777">
      <w:pPr>
        <w:widowControl/>
        <w:spacing w:after="0" w:line="240" w:lineRule="auto"/>
        <w:ind w:right="791"/>
        <w:jc w:val="center"/>
        <w:rPr>
          <w:rFonts w:ascii="Times New Roman" w:eastAsia="Times New Roman" w:hAnsi="Times New Roman"/>
          <w:b/>
          <w:bCs/>
          <w:sz w:val="28"/>
          <w:szCs w:val="28"/>
          <w:lang w:val="lv-LV"/>
        </w:rPr>
      </w:pPr>
      <w:r w:rsidRPr="00D05FE5">
        <w:rPr>
          <w:rFonts w:ascii="Times New Roman" w:eastAsia="Times New Roman" w:hAnsi="Times New Roman"/>
          <w:b/>
          <w:bCs/>
          <w:sz w:val="28"/>
          <w:szCs w:val="28"/>
          <w:lang w:val="lv-LV"/>
        </w:rPr>
        <w:t>par ietekmes uz vidi novērtējuma procedūras piemērošanu</w:t>
      </w:r>
    </w:p>
    <w:p w:rsidR="0033026E" w:rsidRPr="00D05FE5" w:rsidP="0033026E" w14:paraId="4EA93B35" w14:textId="77777777">
      <w:pPr>
        <w:widowControl/>
        <w:tabs>
          <w:tab w:val="left" w:pos="709"/>
          <w:tab w:val="left" w:pos="2835"/>
        </w:tabs>
        <w:spacing w:after="0" w:line="240" w:lineRule="auto"/>
        <w:jc w:val="right"/>
        <w:rPr>
          <w:rFonts w:ascii="Times New Roman" w:eastAsia="Times New Roman" w:hAnsi="Times New Roman"/>
          <w:bCs/>
          <w:i/>
          <w:sz w:val="24"/>
          <w:lang w:val="lv-LV"/>
        </w:rPr>
      </w:pPr>
    </w:p>
    <w:p w:rsidR="00D06880" w:rsidRPr="00D06880" w:rsidP="00D06880" w14:paraId="09A70076" w14:textId="77777777">
      <w:pPr>
        <w:widowControl/>
        <w:spacing w:before="240" w:after="240" w:line="240" w:lineRule="auto"/>
        <w:jc w:val="both"/>
        <w:rPr>
          <w:rFonts w:ascii="Times New Roman" w:eastAsia="Times New Roman" w:hAnsi="Times New Roman"/>
          <w:bCs/>
          <w:sz w:val="24"/>
          <w:szCs w:val="24"/>
          <w:lang w:val="lv-LV"/>
        </w:rPr>
      </w:pPr>
      <w:r w:rsidRPr="00D06880">
        <w:rPr>
          <w:rFonts w:ascii="Times New Roman" w:eastAsia="Times New Roman" w:hAnsi="Times New Roman"/>
          <w:b/>
          <w:sz w:val="24"/>
          <w:szCs w:val="24"/>
          <w:lang w:val="lv-LV"/>
        </w:rPr>
        <w:t>Adresāts:</w:t>
      </w:r>
      <w:r w:rsidRPr="00D06880">
        <w:rPr>
          <w:rFonts w:ascii="Times New Roman" w:eastAsia="Times New Roman" w:hAnsi="Times New Roman"/>
          <w:sz w:val="24"/>
          <w:szCs w:val="24"/>
          <w:lang w:val="lv-LV"/>
        </w:rPr>
        <w:t xml:space="preserve"> </w:t>
      </w:r>
    </w:p>
    <w:p w:rsidR="00D06880" w:rsidRPr="00D05FE5" w:rsidP="00D06880" w14:paraId="66C96FAE" w14:textId="46EB0D39">
      <w:pPr>
        <w:widowControl/>
        <w:tabs>
          <w:tab w:val="left" w:pos="709"/>
          <w:tab w:val="left" w:pos="2835"/>
        </w:tabs>
        <w:spacing w:after="0" w:line="240" w:lineRule="auto"/>
        <w:jc w:val="both"/>
        <w:rPr>
          <w:rFonts w:ascii="Times New Roman" w:eastAsia="Times New Roman" w:hAnsi="Times New Roman"/>
          <w:sz w:val="24"/>
          <w:szCs w:val="24"/>
          <w:lang w:val="lv-LV"/>
        </w:rPr>
      </w:pPr>
      <w:bookmarkStart w:id="0" w:name="_Hlk153355272"/>
      <w:r w:rsidRPr="00D05FE5">
        <w:rPr>
          <w:rFonts w:ascii="Times New Roman" w:hAnsi="Times New Roman"/>
          <w:sz w:val="24"/>
          <w:szCs w:val="24"/>
          <w:lang w:val="lv-LV"/>
        </w:rPr>
        <w:t>Valsts s</w:t>
      </w:r>
      <w:r w:rsidRPr="00D06880">
        <w:rPr>
          <w:rFonts w:ascii="Times New Roman" w:hAnsi="Times New Roman"/>
          <w:sz w:val="24"/>
          <w:szCs w:val="24"/>
          <w:lang w:val="lv-LV"/>
        </w:rPr>
        <w:t>abiedrība ar ierobežotu atbildību “</w:t>
      </w:r>
      <w:r w:rsidRPr="00D05FE5">
        <w:rPr>
          <w:rFonts w:ascii="Times New Roman" w:hAnsi="Times New Roman"/>
          <w:sz w:val="24"/>
          <w:szCs w:val="24"/>
          <w:lang w:val="lv-LV"/>
        </w:rPr>
        <w:t>Latvijas Valsts ceļi</w:t>
      </w:r>
      <w:r w:rsidRPr="00D06880">
        <w:rPr>
          <w:rFonts w:ascii="Times New Roman" w:hAnsi="Times New Roman"/>
          <w:sz w:val="24"/>
          <w:szCs w:val="24"/>
          <w:lang w:val="lv-LV"/>
        </w:rPr>
        <w:t>”,</w:t>
      </w:r>
      <w:bookmarkEnd w:id="0"/>
      <w:r w:rsidRPr="00D06880">
        <w:rPr>
          <w:rFonts w:ascii="Times New Roman" w:hAnsi="Times New Roman"/>
          <w:sz w:val="24"/>
          <w:szCs w:val="24"/>
          <w:lang w:val="lv-LV"/>
        </w:rPr>
        <w:t xml:space="preserve"> reģ. Nr. </w:t>
      </w:r>
      <w:r w:rsidRPr="00D05FE5">
        <w:rPr>
          <w:rFonts w:ascii="Times New Roman" w:eastAsia="Times New Roman" w:hAnsi="Times New Roman"/>
          <w:sz w:val="24"/>
          <w:szCs w:val="24"/>
          <w:lang w:val="lv-LV"/>
        </w:rPr>
        <w:t>40003344207</w:t>
      </w:r>
      <w:r w:rsidRPr="00D06880">
        <w:rPr>
          <w:rFonts w:ascii="Times New Roman" w:hAnsi="Times New Roman"/>
          <w:sz w:val="24"/>
          <w:szCs w:val="24"/>
          <w:lang w:val="lv-LV"/>
        </w:rPr>
        <w:t xml:space="preserve">, </w:t>
      </w:r>
      <w:r w:rsidRPr="00D06880">
        <w:rPr>
          <w:rFonts w:ascii="Times New Roman" w:eastAsia="Times New Roman" w:hAnsi="Times New Roman"/>
          <w:sz w:val="24"/>
          <w:szCs w:val="24"/>
          <w:lang w:val="lv-LV"/>
        </w:rPr>
        <w:t xml:space="preserve">juridiskā adrese: </w:t>
      </w:r>
      <w:r w:rsidRPr="00D05FE5">
        <w:rPr>
          <w:rFonts w:ascii="Times New Roman" w:hAnsi="Times New Roman"/>
          <w:sz w:val="24"/>
          <w:szCs w:val="24"/>
          <w:lang w:val="lv-LV"/>
        </w:rPr>
        <w:t xml:space="preserve">Emīlijas Benjamiņas iela 3, Rīga, LV-1050, </w:t>
      </w:r>
      <w:r w:rsidRPr="00D06880">
        <w:rPr>
          <w:rFonts w:ascii="Times New Roman" w:hAnsi="Times New Roman"/>
          <w:sz w:val="24"/>
          <w:szCs w:val="24"/>
          <w:lang w:val="lv-LV"/>
        </w:rPr>
        <w:t xml:space="preserve">e-pasts: </w:t>
      </w:r>
      <w:hyperlink r:id="rId6" w:history="1">
        <w:r w:rsidRPr="00D05FE5">
          <w:rPr>
            <w:rStyle w:val="Hyperlink"/>
            <w:rFonts w:ascii="Times New Roman" w:hAnsi="Times New Roman"/>
            <w:sz w:val="24"/>
            <w:szCs w:val="24"/>
            <w:lang w:val="lv-LV"/>
          </w:rPr>
          <w:t>lvceli@lvceli.lv</w:t>
        </w:r>
      </w:hyperlink>
      <w:r w:rsidRPr="00D05FE5">
        <w:rPr>
          <w:rFonts w:ascii="Times New Roman" w:hAnsi="Times New Roman"/>
          <w:sz w:val="24"/>
          <w:szCs w:val="24"/>
          <w:lang w:val="lv-LV"/>
        </w:rPr>
        <w:t xml:space="preserve">, </w:t>
      </w:r>
      <w:r w:rsidRPr="00D05FE5">
        <w:rPr>
          <w:rFonts w:ascii="Times New Roman" w:hAnsi="Times New Roman"/>
          <w:i/>
          <w:iCs/>
          <w:sz w:val="24"/>
          <w:szCs w:val="24"/>
          <w:lang w:val="lv-LV"/>
        </w:rPr>
        <w:t>EAdrese</w:t>
      </w:r>
      <w:r w:rsidRPr="00D05FE5">
        <w:rPr>
          <w:rFonts w:ascii="Times New Roman" w:hAnsi="Times New Roman"/>
          <w:sz w:val="24"/>
          <w:szCs w:val="24"/>
          <w:lang w:val="lv-LV"/>
        </w:rPr>
        <w:t xml:space="preserve">: </w:t>
      </w:r>
      <w:r w:rsidRPr="00D05FE5">
        <w:rPr>
          <w:rFonts w:ascii="Times New Roman" w:hAnsi="Times New Roman"/>
          <w:sz w:val="24"/>
          <w:szCs w:val="24"/>
          <w:shd w:val="clear" w:color="auto" w:fill="FFFFFF"/>
          <w:lang w:val="lv-LV"/>
        </w:rPr>
        <w:t xml:space="preserve"> </w:t>
      </w:r>
      <w:r w:rsidRPr="00D05FE5">
        <w:rPr>
          <w:rFonts w:ascii="Times New Roman" w:hAnsi="Times New Roman"/>
          <w:i/>
          <w:iCs/>
          <w:sz w:val="24"/>
          <w:szCs w:val="24"/>
          <w:lang w:val="lv-LV"/>
        </w:rPr>
        <w:t xml:space="preserve">_DEFAULT@40003344207 </w:t>
      </w:r>
      <w:r w:rsidRPr="00D06880">
        <w:rPr>
          <w:rFonts w:ascii="Times New Roman" w:hAnsi="Times New Roman"/>
          <w:sz w:val="24"/>
          <w:szCs w:val="24"/>
          <w:shd w:val="clear" w:color="auto" w:fill="FFFFFF"/>
          <w:lang w:val="lv-LV"/>
        </w:rPr>
        <w:t>(</w:t>
      </w:r>
      <w:r w:rsidRPr="00D06880">
        <w:rPr>
          <w:rFonts w:ascii="Times New Roman" w:eastAsia="Times New Roman" w:hAnsi="Times New Roman"/>
          <w:sz w:val="24"/>
          <w:szCs w:val="24"/>
          <w:lang w:val="lv-LV"/>
        </w:rPr>
        <w:t>turpmāk – Ierosinātāja).</w:t>
      </w:r>
    </w:p>
    <w:p w:rsidR="00D06880" w:rsidRPr="00D06880" w:rsidP="00D06880" w14:paraId="3A68206C" w14:textId="77777777">
      <w:pPr>
        <w:widowControl/>
        <w:tabs>
          <w:tab w:val="left" w:pos="709"/>
          <w:tab w:val="left" w:pos="2835"/>
        </w:tabs>
        <w:spacing w:after="0" w:line="240" w:lineRule="auto"/>
        <w:jc w:val="both"/>
        <w:rPr>
          <w:rFonts w:ascii="Times New Roman" w:hAnsi="Times New Roman"/>
          <w:bCs/>
          <w:sz w:val="24"/>
          <w:szCs w:val="24"/>
          <w:lang w:val="lv-LV"/>
        </w:rPr>
      </w:pPr>
    </w:p>
    <w:p w:rsidR="00D06880" w:rsidRPr="00D06880" w:rsidP="00D06880" w14:paraId="58CE449F" w14:textId="01DDB75D">
      <w:pPr>
        <w:widowControl/>
        <w:spacing w:before="240" w:after="240" w:line="240" w:lineRule="auto"/>
        <w:jc w:val="both"/>
        <w:rPr>
          <w:rFonts w:ascii="Times New Roman" w:eastAsia="Times New Roman" w:hAnsi="Times New Roman"/>
          <w:bCs/>
          <w:iCs/>
          <w:sz w:val="24"/>
          <w:szCs w:val="24"/>
          <w:lang w:val="lv-LV"/>
        </w:rPr>
      </w:pPr>
      <w:r w:rsidRPr="00D06880">
        <w:rPr>
          <w:rFonts w:ascii="Times New Roman" w:eastAsia="Times New Roman" w:hAnsi="Times New Roman"/>
          <w:b/>
          <w:sz w:val="24"/>
          <w:szCs w:val="24"/>
          <w:lang w:val="lv-LV"/>
        </w:rPr>
        <w:t>Paredzētās darbības nosaukums:</w:t>
      </w:r>
      <w:r w:rsidRPr="00D06880">
        <w:rPr>
          <w:rFonts w:ascii="Times New Roman" w:eastAsia="Times New Roman" w:hAnsi="Times New Roman"/>
          <w:sz w:val="24"/>
          <w:szCs w:val="24"/>
          <w:lang w:val="lv-LV"/>
        </w:rPr>
        <w:t xml:space="preserve"> </w:t>
      </w:r>
      <w:r w:rsidRPr="00D05FE5">
        <w:rPr>
          <w:rFonts w:ascii="Times New Roman" w:hAnsi="Times New Roman"/>
          <w:sz w:val="24"/>
          <w:szCs w:val="24"/>
          <w:lang w:val="lv-LV"/>
        </w:rPr>
        <w:t xml:space="preserve">Valsts galvenā autoceļa A7 Rīga–Bauska–Lietuvas robeža (Grenctāle) posma 71,8 - 86,1 km (Bauskas apvedceļa beigas – Lietuvas robeža) pārbūve </w:t>
      </w:r>
      <w:r w:rsidRPr="00D06880">
        <w:rPr>
          <w:rFonts w:ascii="Times New Roman" w:hAnsi="Times New Roman"/>
          <w:sz w:val="24"/>
          <w:szCs w:val="24"/>
          <w:lang w:val="lv-LV"/>
        </w:rPr>
        <w:t>(turpmāk</w:t>
      </w:r>
      <w:r w:rsidRPr="00D05FE5" w:rsidR="00927A52">
        <w:rPr>
          <w:rFonts w:ascii="Times New Roman" w:hAnsi="Times New Roman"/>
          <w:sz w:val="24"/>
          <w:szCs w:val="24"/>
          <w:lang w:val="lv-LV"/>
        </w:rPr>
        <w:t> </w:t>
      </w:r>
      <w:r w:rsidRPr="00D06880">
        <w:rPr>
          <w:rFonts w:ascii="Times New Roman" w:hAnsi="Times New Roman"/>
          <w:sz w:val="24"/>
          <w:szCs w:val="24"/>
          <w:lang w:val="lv-LV"/>
        </w:rPr>
        <w:t xml:space="preserve">– Paredzētā darbība). </w:t>
      </w:r>
    </w:p>
    <w:p w:rsidR="00D06880" w:rsidRPr="00D06880" w:rsidP="00D06880" w14:paraId="7C2B5C81" w14:textId="77777777">
      <w:pPr>
        <w:widowControl/>
        <w:spacing w:before="240" w:after="240" w:line="240" w:lineRule="auto"/>
        <w:jc w:val="both"/>
        <w:rPr>
          <w:rFonts w:ascii="Times New Roman" w:eastAsia="Times New Roman" w:hAnsi="Times New Roman"/>
          <w:b/>
          <w:sz w:val="24"/>
          <w:szCs w:val="24"/>
          <w:lang w:val="lv-LV"/>
        </w:rPr>
      </w:pPr>
      <w:r w:rsidRPr="00D06880">
        <w:rPr>
          <w:rFonts w:ascii="Times New Roman" w:eastAsia="Times New Roman" w:hAnsi="Times New Roman"/>
          <w:b/>
          <w:sz w:val="24"/>
          <w:szCs w:val="24"/>
          <w:lang w:val="lv-LV"/>
        </w:rPr>
        <w:t xml:space="preserve">Paredzētās darbības norises vieta: </w:t>
      </w:r>
    </w:p>
    <w:p w:rsidR="00927A52" w:rsidRPr="00D05FE5" w:rsidP="00927A52" w14:paraId="56FF7302" w14:textId="729C7509">
      <w:pPr>
        <w:spacing w:before="120" w:after="120" w:line="240" w:lineRule="auto"/>
        <w:jc w:val="both"/>
        <w:rPr>
          <w:rFonts w:ascii="Times New Roman" w:hAnsi="Times New Roman"/>
          <w:b/>
          <w:bCs/>
          <w:sz w:val="24"/>
          <w:szCs w:val="24"/>
          <w:lang w:val="lv-LV"/>
        </w:rPr>
      </w:pPr>
      <w:bookmarkStart w:id="1" w:name="_Hlk153475372"/>
      <w:bookmarkStart w:id="2" w:name="_Hlk160196267"/>
      <w:r w:rsidRPr="00D05FE5">
        <w:rPr>
          <w:rFonts w:ascii="Times New Roman" w:hAnsi="Times New Roman"/>
          <w:sz w:val="24"/>
          <w:szCs w:val="24"/>
          <w:lang w:val="lv-LV"/>
        </w:rPr>
        <w:t xml:space="preserve">Bauskas novads, Ceraukstes un Brunavas pagasti </w:t>
      </w:r>
      <w:r w:rsidRPr="00D05FE5">
        <w:rPr>
          <w:rFonts w:ascii="Times New Roman" w:hAnsi="Times New Roman"/>
          <w:sz w:val="24"/>
          <w:szCs w:val="24"/>
          <w:lang w:val="lv-LV" w:eastAsia="lv-LV"/>
        </w:rPr>
        <w:t>(turpmāk – Darbības vieta).</w:t>
      </w:r>
    </w:p>
    <w:bookmarkEnd w:id="1"/>
    <w:bookmarkEnd w:id="2"/>
    <w:p w:rsidR="00D06880" w:rsidRPr="00D06880" w:rsidP="00D06880" w14:paraId="6424C05F" w14:textId="77777777">
      <w:pPr>
        <w:widowControl/>
        <w:autoSpaceDE w:val="0"/>
        <w:autoSpaceDN w:val="0"/>
        <w:adjustRightInd w:val="0"/>
        <w:spacing w:before="240" w:after="240" w:line="240" w:lineRule="auto"/>
        <w:jc w:val="both"/>
        <w:rPr>
          <w:rFonts w:ascii="Times New Roman" w:eastAsia="Times New Roman" w:hAnsi="Times New Roman"/>
          <w:bCs/>
          <w:sz w:val="24"/>
          <w:szCs w:val="24"/>
          <w:lang w:val="lv-LV"/>
        </w:rPr>
      </w:pPr>
      <w:r w:rsidRPr="00D06880">
        <w:rPr>
          <w:rFonts w:ascii="Times New Roman" w:eastAsia="Times New Roman" w:hAnsi="Times New Roman"/>
          <w:b/>
          <w:sz w:val="24"/>
          <w:szCs w:val="24"/>
          <w:lang w:val="lv-LV"/>
        </w:rPr>
        <w:t>Īss paredzētās darbības raksturojums, faktu konstatācija un apsvērumi lēmuma satura noteikšanai:</w:t>
      </w:r>
    </w:p>
    <w:p w:rsidR="00D06880" w:rsidRPr="00D06880" w:rsidP="00D06880" w14:paraId="70F4E58F" w14:textId="3A22873D">
      <w:pPr>
        <w:widowControl/>
        <w:numPr>
          <w:ilvl w:val="0"/>
          <w:numId w:val="14"/>
        </w:numPr>
        <w:spacing w:before="120" w:after="120" w:line="240" w:lineRule="auto"/>
        <w:jc w:val="both"/>
        <w:rPr>
          <w:rFonts w:ascii="Times New Roman" w:hAnsi="Times New Roman"/>
          <w:sz w:val="24"/>
          <w:szCs w:val="24"/>
          <w:lang w:val="lv-LV"/>
        </w:rPr>
      </w:pPr>
      <w:r w:rsidRPr="00D06880">
        <w:rPr>
          <w:rFonts w:ascii="Times New Roman" w:hAnsi="Times New Roman"/>
          <w:sz w:val="24"/>
          <w:szCs w:val="24"/>
          <w:lang w:val="lv-LV"/>
        </w:rPr>
        <w:t xml:space="preserve">Ierosinātāja ar 2025. gada </w:t>
      </w:r>
      <w:r w:rsidRPr="00D05FE5" w:rsidR="00927A52">
        <w:rPr>
          <w:rFonts w:ascii="Times New Roman" w:hAnsi="Times New Roman"/>
          <w:sz w:val="24"/>
          <w:szCs w:val="24"/>
          <w:lang w:val="lv-LV"/>
        </w:rPr>
        <w:t>1. oktobra</w:t>
      </w:r>
      <w:r w:rsidRPr="00D06880">
        <w:rPr>
          <w:rFonts w:ascii="Times New Roman" w:hAnsi="Times New Roman"/>
          <w:sz w:val="24"/>
          <w:szCs w:val="24"/>
          <w:lang w:val="lv-LV"/>
        </w:rPr>
        <w:t xml:space="preserve"> </w:t>
      </w:r>
      <w:r w:rsidRPr="00D05FE5" w:rsidR="00163518">
        <w:rPr>
          <w:rFonts w:ascii="Times New Roman" w:hAnsi="Times New Roman"/>
          <w:sz w:val="24"/>
          <w:szCs w:val="24"/>
          <w:lang w:val="lv-LV"/>
        </w:rPr>
        <w:t xml:space="preserve">iesniegumu </w:t>
      </w:r>
      <w:r w:rsidRPr="00D06880">
        <w:rPr>
          <w:rFonts w:ascii="Times New Roman" w:hAnsi="Times New Roman"/>
          <w:sz w:val="24"/>
          <w:szCs w:val="24"/>
          <w:lang w:val="lv-LV"/>
        </w:rPr>
        <w:t>Nr. </w:t>
      </w:r>
      <w:r w:rsidRPr="00D05FE5" w:rsidR="00927A52">
        <w:rPr>
          <w:rFonts w:ascii="Times New Roman" w:eastAsia="Times New Roman" w:hAnsi="Times New Roman"/>
          <w:iCs/>
          <w:sz w:val="24"/>
          <w:szCs w:val="24"/>
          <w:lang w:val="lv-LV"/>
        </w:rPr>
        <w:t>2.1 / 18063</w:t>
      </w:r>
      <w:r w:rsidRPr="00D05FE5" w:rsidR="00163518">
        <w:rPr>
          <w:rFonts w:ascii="Times New Roman" w:eastAsia="Times New Roman" w:hAnsi="Times New Roman"/>
          <w:iCs/>
          <w:sz w:val="24"/>
          <w:szCs w:val="24"/>
          <w:lang w:val="lv-LV"/>
        </w:rPr>
        <w:t xml:space="preserve"> ar pielikumiem </w:t>
      </w:r>
      <w:r w:rsidRPr="00D05FE5" w:rsidR="00927A52">
        <w:rPr>
          <w:rFonts w:ascii="Times New Roman" w:eastAsia="Times New Roman" w:hAnsi="Times New Roman"/>
          <w:sz w:val="24"/>
          <w:szCs w:val="24"/>
          <w:lang w:val="lv-LV"/>
        </w:rPr>
        <w:t>(turpmāk – Iesniegums)</w:t>
      </w:r>
      <w:r>
        <w:rPr>
          <w:rStyle w:val="FootnoteReference"/>
          <w:rFonts w:ascii="Times New Roman" w:eastAsia="Times New Roman" w:hAnsi="Times New Roman"/>
          <w:sz w:val="24"/>
          <w:szCs w:val="24"/>
          <w:lang w:val="lv-LV"/>
        </w:rPr>
        <w:footnoteReference w:id="2"/>
      </w:r>
      <w:r w:rsidRPr="00D05FE5" w:rsidR="00927A52">
        <w:rPr>
          <w:rFonts w:ascii="Times New Roman" w:eastAsia="Times New Roman" w:hAnsi="Times New Roman"/>
          <w:sz w:val="24"/>
          <w:szCs w:val="24"/>
          <w:lang w:val="lv-LV"/>
        </w:rPr>
        <w:t xml:space="preserve"> ietekmes uz vidi novērtējuma procedūras uzsākšanai ir vērsusies V</w:t>
      </w:r>
      <w:r w:rsidRPr="00D05FE5" w:rsidR="00163518">
        <w:rPr>
          <w:rFonts w:ascii="Times New Roman" w:eastAsia="Times New Roman" w:hAnsi="Times New Roman"/>
          <w:sz w:val="24"/>
          <w:szCs w:val="24"/>
          <w:lang w:val="lv-LV"/>
        </w:rPr>
        <w:t xml:space="preserve">alsts vides dienestā </w:t>
      </w:r>
      <w:r w:rsidRPr="00D05FE5" w:rsidR="00927A52">
        <w:rPr>
          <w:rFonts w:ascii="Times New Roman" w:eastAsia="Times New Roman" w:hAnsi="Times New Roman"/>
          <w:sz w:val="24"/>
          <w:szCs w:val="24"/>
          <w:lang w:val="lv-LV"/>
        </w:rPr>
        <w:t xml:space="preserve"> (turpmāk – </w:t>
      </w:r>
      <w:r w:rsidRPr="00D05FE5" w:rsidR="00163518">
        <w:rPr>
          <w:rFonts w:ascii="Times New Roman" w:eastAsia="Times New Roman" w:hAnsi="Times New Roman"/>
          <w:sz w:val="24"/>
          <w:szCs w:val="24"/>
          <w:lang w:val="lv-LV"/>
        </w:rPr>
        <w:t>Dienests</w:t>
      </w:r>
      <w:r w:rsidRPr="00D05FE5" w:rsidR="00927A52">
        <w:rPr>
          <w:rFonts w:ascii="Times New Roman" w:eastAsia="Times New Roman" w:hAnsi="Times New Roman"/>
          <w:sz w:val="24"/>
          <w:szCs w:val="24"/>
          <w:lang w:val="lv-LV"/>
        </w:rPr>
        <w:t>).</w:t>
      </w:r>
    </w:p>
    <w:p w:rsidR="00D06880" w:rsidRPr="00D06880" w:rsidP="00D06880" w14:paraId="7E17921C" w14:textId="32C4415B">
      <w:pPr>
        <w:widowControl/>
        <w:numPr>
          <w:ilvl w:val="0"/>
          <w:numId w:val="14"/>
        </w:numPr>
        <w:spacing w:before="120" w:after="120" w:line="240" w:lineRule="auto"/>
        <w:jc w:val="both"/>
        <w:rPr>
          <w:rFonts w:ascii="Times New Roman" w:hAnsi="Times New Roman"/>
          <w:sz w:val="24"/>
          <w:szCs w:val="24"/>
          <w:lang w:val="lv-LV"/>
        </w:rPr>
      </w:pPr>
      <w:r w:rsidRPr="00D06880">
        <w:rPr>
          <w:rFonts w:ascii="Times New Roman" w:hAnsi="Times New Roman"/>
          <w:sz w:val="24"/>
          <w:szCs w:val="24"/>
          <w:lang w:val="lv-LV"/>
        </w:rPr>
        <w:t xml:space="preserve">Atbilstoši Iesniegumā iekļautajai informācijai: </w:t>
      </w:r>
    </w:p>
    <w:p w:rsidR="00163518" w:rsidRPr="00D05FE5" w:rsidP="0069496A" w14:paraId="593DF3F4" w14:textId="109600E4">
      <w:pPr>
        <w:pStyle w:val="ListParagraph"/>
        <w:numPr>
          <w:ilvl w:val="1"/>
          <w:numId w:val="14"/>
        </w:numPr>
        <w:spacing w:before="120" w:after="120" w:line="240" w:lineRule="auto"/>
        <w:ind w:right="-92"/>
        <w:contextualSpacing w:val="0"/>
        <w:jc w:val="both"/>
        <w:rPr>
          <w:rFonts w:ascii="Times New Roman" w:hAnsi="Times New Roman"/>
          <w:sz w:val="24"/>
          <w:szCs w:val="24"/>
          <w:lang w:val="lv-LV"/>
        </w:rPr>
      </w:pPr>
      <w:bookmarkStart w:id="3" w:name="_Hlk153439402"/>
      <w:bookmarkStart w:id="4" w:name="_Hlk153439675"/>
      <w:r w:rsidRPr="00D05FE5">
        <w:rPr>
          <w:rFonts w:ascii="Times New Roman" w:hAnsi="Times New Roman"/>
          <w:sz w:val="24"/>
          <w:szCs w:val="24"/>
          <w:lang w:val="lv-LV"/>
        </w:rPr>
        <w:t>Paredzētā darbība ir esošā divu joslu autoceļa A7 pārbūve par ātrgaitas ceļu sākot no Bauskas apvedceļa beigām (aptuveni 4 km  no Bauskas pilsētas robežas Lietuvas virzienā) līdz robežai ar Lietuv</w:t>
      </w:r>
      <w:r w:rsidRPr="00D05FE5" w:rsidR="0010123D">
        <w:rPr>
          <w:rFonts w:ascii="Times New Roman" w:hAnsi="Times New Roman"/>
          <w:sz w:val="24"/>
          <w:szCs w:val="24"/>
          <w:lang w:val="lv-LV"/>
        </w:rPr>
        <w:t>as Republiku</w:t>
      </w:r>
      <w:r w:rsidRPr="00D05FE5">
        <w:rPr>
          <w:rFonts w:ascii="Times New Roman" w:hAnsi="Times New Roman"/>
          <w:sz w:val="24"/>
          <w:szCs w:val="24"/>
          <w:lang w:val="lv-LV"/>
        </w:rPr>
        <w:t>.</w:t>
      </w:r>
    </w:p>
    <w:p w:rsidR="00163518" w:rsidRPr="00D05FE5" w:rsidP="0069496A" w14:paraId="38C4C45D" w14:textId="719390EB">
      <w:pPr>
        <w:pStyle w:val="ListParagraph"/>
        <w:numPr>
          <w:ilvl w:val="1"/>
          <w:numId w:val="14"/>
        </w:numPr>
        <w:spacing w:before="120" w:after="120" w:line="240" w:lineRule="auto"/>
        <w:ind w:right="-92"/>
        <w:contextualSpacing w:val="0"/>
        <w:jc w:val="both"/>
        <w:rPr>
          <w:rFonts w:ascii="Times New Roman" w:hAnsi="Times New Roman"/>
          <w:sz w:val="24"/>
          <w:szCs w:val="24"/>
          <w:lang w:val="lv-LV"/>
        </w:rPr>
      </w:pPr>
      <w:r w:rsidRPr="00D05FE5">
        <w:rPr>
          <w:rFonts w:ascii="Times New Roman" w:hAnsi="Times New Roman"/>
          <w:sz w:val="24"/>
          <w:szCs w:val="24"/>
          <w:lang w:val="lv-LV"/>
        </w:rPr>
        <w:t xml:space="preserve">Autoceļš plānots kā ātrgaitas autoceļš ar divām brauktuvēm (4 braukšanas joslas, </w:t>
      </w:r>
      <w:r w:rsidRPr="00D05FE5" w:rsidR="0010123D">
        <w:rPr>
          <w:rFonts w:ascii="Times New Roman" w:hAnsi="Times New Roman"/>
          <w:sz w:val="24"/>
          <w:szCs w:val="24"/>
          <w:lang w:val="lv-LV"/>
        </w:rPr>
        <w:t xml:space="preserve">normalprofils </w:t>
      </w:r>
      <w:r w:rsidRPr="00D05FE5">
        <w:rPr>
          <w:rFonts w:ascii="Times New Roman" w:hAnsi="Times New Roman"/>
          <w:sz w:val="24"/>
          <w:szCs w:val="24"/>
          <w:lang w:val="lv-LV"/>
        </w:rPr>
        <w:t xml:space="preserve">NP26 [ceļa klātnes platums – 26 m]) aptuveni 14,3 km garumā. </w:t>
      </w:r>
      <w:r w:rsidRPr="00D05FE5" w:rsidR="0069496A">
        <w:rPr>
          <w:rFonts w:ascii="Times New Roman" w:hAnsi="Times New Roman"/>
          <w:sz w:val="24"/>
          <w:szCs w:val="24"/>
          <w:lang w:val="lv-LV"/>
        </w:rPr>
        <w:t xml:space="preserve">Projektētais un atļautais braukšanas ātrums - 120 km/h, izņemot vietas, kur tas objektīvu apstākļu dēļ nav iespējams, vai kur satiksmes drošības dēļ ir nepieciešams samazināts ātrums (piemēram, mezglu zonās). </w:t>
      </w:r>
      <w:r w:rsidRPr="00D05FE5">
        <w:rPr>
          <w:rFonts w:ascii="Times New Roman" w:hAnsi="Times New Roman"/>
          <w:sz w:val="24"/>
          <w:szCs w:val="24"/>
          <w:lang w:val="lv-LV"/>
        </w:rPr>
        <w:t xml:space="preserve">Autoceļam plānoti divlīmeņu ceļumezgli ar nozīmīgākajiem </w:t>
      </w:r>
      <w:r w:rsidRPr="00D05FE5">
        <w:rPr>
          <w:rFonts w:ascii="Times New Roman" w:hAnsi="Times New Roman"/>
          <w:sz w:val="24"/>
          <w:szCs w:val="24"/>
          <w:lang w:val="lv-LV"/>
        </w:rPr>
        <w:t>autoceļiem (tie varētu būt 2 – 3 mezgli ar valsts vietējiem autoceļiem). Vietējā satiksme tiks organizēta pa zemākas kategorijas autoceļiem, pieslēdzot tos pamattrasei divlīmeņu mezglos.</w:t>
      </w:r>
    </w:p>
    <w:p w:rsidR="0010123D" w:rsidRPr="00D05FE5" w:rsidP="0069496A" w14:paraId="6986A760" w14:textId="06F6334A">
      <w:pPr>
        <w:pStyle w:val="ListParagraph"/>
        <w:numPr>
          <w:ilvl w:val="1"/>
          <w:numId w:val="14"/>
        </w:numPr>
        <w:tabs>
          <w:tab w:val="num" w:pos="1080"/>
        </w:tabs>
        <w:spacing w:before="120" w:after="120" w:line="240" w:lineRule="auto"/>
        <w:ind w:right="-92"/>
        <w:contextualSpacing w:val="0"/>
        <w:jc w:val="both"/>
        <w:rPr>
          <w:rFonts w:ascii="Times New Roman" w:hAnsi="Times New Roman"/>
          <w:i/>
          <w:sz w:val="24"/>
          <w:szCs w:val="24"/>
          <w:lang w:val="lv-LV"/>
        </w:rPr>
      </w:pPr>
      <w:r w:rsidRPr="00D05FE5">
        <w:rPr>
          <w:rFonts w:ascii="Times New Roman" w:hAnsi="Times New Roman"/>
          <w:sz w:val="24"/>
          <w:szCs w:val="24"/>
          <w:lang w:val="lv-LV"/>
        </w:rPr>
        <w:t xml:space="preserve">Autoceļa trase daļēji atradīsies Eiropas standarta platuma dzelzceļa līnijas </w:t>
      </w:r>
      <w:r w:rsidRPr="00D05FE5">
        <w:rPr>
          <w:rFonts w:ascii="Times New Roman" w:hAnsi="Times New Roman"/>
          <w:i/>
          <w:iCs/>
          <w:sz w:val="24"/>
          <w:szCs w:val="24"/>
          <w:lang w:val="lv-LV"/>
        </w:rPr>
        <w:t>Rail Baltica</w:t>
      </w:r>
      <w:r w:rsidRPr="00D05FE5">
        <w:rPr>
          <w:rFonts w:ascii="Times New Roman" w:hAnsi="Times New Roman"/>
          <w:sz w:val="24"/>
          <w:szCs w:val="24"/>
          <w:lang w:val="lv-LV"/>
        </w:rPr>
        <w:t xml:space="preserve"> trases tiešā tuvumā. Pie Grenctāles plānots abu infrastruktūras objektu mezgls.  Tāpat šim pašam autoceļam Lietuvas pusē plānoti analogi pārbūves darbi. Projektēšanas procesā plānots savietot abu valstu projektu risinājumus.</w:t>
      </w:r>
    </w:p>
    <w:bookmarkEnd w:id="3"/>
    <w:bookmarkEnd w:id="4"/>
    <w:p w:rsidR="00163518" w:rsidRPr="00D05FE5" w:rsidP="0069496A" w14:paraId="5826F49D" w14:textId="7D2F8605">
      <w:pPr>
        <w:pStyle w:val="ListParagraph"/>
        <w:numPr>
          <w:ilvl w:val="1"/>
          <w:numId w:val="14"/>
        </w:numPr>
        <w:tabs>
          <w:tab w:val="num" w:pos="1080"/>
        </w:tabs>
        <w:spacing w:before="120" w:after="120" w:line="240" w:lineRule="auto"/>
        <w:ind w:right="-92"/>
        <w:contextualSpacing w:val="0"/>
        <w:jc w:val="both"/>
        <w:rPr>
          <w:rFonts w:ascii="Times New Roman" w:hAnsi="Times New Roman"/>
          <w:i/>
          <w:sz w:val="24"/>
          <w:szCs w:val="24"/>
          <w:lang w:val="lv-LV"/>
        </w:rPr>
      </w:pPr>
      <w:r w:rsidRPr="00D06880">
        <w:rPr>
          <w:rFonts w:ascii="Times New Roman" w:eastAsia="Times New Roman" w:hAnsi="Times New Roman"/>
          <w:sz w:val="24"/>
          <w:szCs w:val="24"/>
          <w:lang w:val="lv-LV" w:eastAsia="ar-SA"/>
        </w:rPr>
        <w:t>Sas</w:t>
      </w:r>
      <w:r w:rsidRPr="00D06880">
        <w:rPr>
          <w:rFonts w:ascii="Times New Roman" w:eastAsia="Times New Roman" w:hAnsi="Times New Roman"/>
          <w:sz w:val="24"/>
          <w:szCs w:val="24"/>
          <w:lang w:val="lv-LV"/>
        </w:rPr>
        <w:t>kaņā ar Dabas aizsardzības pārvaldes uzturēto dabas datu pārvaldības sistēmu (turpmāk – DDPS) “Ozols”</w:t>
      </w:r>
      <w:r>
        <w:rPr>
          <w:rFonts w:ascii="Times New Roman" w:hAnsi="Times New Roman"/>
          <w:kern w:val="2"/>
          <w:sz w:val="24"/>
          <w:szCs w:val="24"/>
          <w:vertAlign w:val="superscript"/>
          <w:lang w:val="lv-LV"/>
          <w14:ligatures w14:val="standardContextual"/>
        </w:rPr>
        <w:footnoteReference w:id="3"/>
      </w:r>
      <w:r w:rsidRPr="00D06880">
        <w:rPr>
          <w:rFonts w:ascii="Times New Roman" w:eastAsia="Times New Roman" w:hAnsi="Times New Roman"/>
          <w:sz w:val="24"/>
          <w:szCs w:val="24"/>
          <w:lang w:val="lv-LV"/>
        </w:rPr>
        <w:t xml:space="preserve"> Paredzētās darbības vieta neatrodas īpaši aizsargājamā dabas teritorijā</w:t>
      </w:r>
      <w:r w:rsidRPr="00D06880">
        <w:rPr>
          <w:rFonts w:ascii="Times New Roman" w:hAnsi="Times New Roman"/>
          <w:sz w:val="24"/>
          <w:szCs w:val="24"/>
          <w:lang w:val="lv-LV"/>
        </w:rPr>
        <w:t>.</w:t>
      </w:r>
      <w:r w:rsidRPr="00D06880">
        <w:rPr>
          <w:rFonts w:ascii="Times New Roman" w:eastAsia="Times New Roman" w:hAnsi="Times New Roman"/>
          <w:kern w:val="2"/>
          <w:sz w:val="24"/>
          <w:szCs w:val="24"/>
          <w:lang w:val="lv-LV"/>
          <w14:ligatures w14:val="standardContextual"/>
        </w:rPr>
        <w:t xml:space="preserve"> </w:t>
      </w:r>
      <w:r w:rsidRPr="00D05FE5">
        <w:rPr>
          <w:rFonts w:ascii="Times New Roman" w:eastAsia="Times New Roman" w:hAnsi="Times New Roman"/>
          <w:kern w:val="2"/>
          <w:sz w:val="24"/>
          <w:szCs w:val="24"/>
          <w:lang w:val="lv-LV"/>
          <w14:ligatures w14:val="standardContextual"/>
        </w:rPr>
        <w:t xml:space="preserve"> </w:t>
      </w:r>
      <w:r w:rsidRPr="00D05FE5" w:rsidR="0010123D">
        <w:rPr>
          <w:rFonts w:ascii="Times New Roman" w:eastAsia="Times New Roman" w:hAnsi="Times New Roman"/>
          <w:kern w:val="2"/>
          <w:sz w:val="24"/>
          <w:szCs w:val="24"/>
          <w:lang w:val="lv-LV"/>
          <w14:ligatures w14:val="standardContextual"/>
        </w:rPr>
        <w:t xml:space="preserve">Tuvākās </w:t>
      </w:r>
      <w:r w:rsidRPr="00D05FE5" w:rsidR="0010123D">
        <w:rPr>
          <w:rFonts w:ascii="Times New Roman" w:eastAsia="Times New Roman" w:hAnsi="Times New Roman"/>
          <w:bCs/>
          <w:kern w:val="2"/>
          <w:sz w:val="24"/>
          <w:szCs w:val="24"/>
          <w:lang w:val="lv-LV"/>
          <w14:ligatures w14:val="standardContextual"/>
        </w:rPr>
        <w:t xml:space="preserve"> </w:t>
      </w:r>
      <w:r w:rsidRPr="00D05FE5" w:rsidR="0010123D">
        <w:rPr>
          <w:rFonts w:ascii="Times New Roman" w:eastAsia="Times New Roman" w:hAnsi="Times New Roman"/>
          <w:sz w:val="24"/>
          <w:szCs w:val="24"/>
          <w:lang w:val="lv-LV" w:eastAsia="lv-LV"/>
        </w:rPr>
        <w:t>īpaši aizsargājamās dabas teritorijas, tai skaitā Eiropas nozīmes īpaši aizsargājamās dabas teritorijas (</w:t>
      </w:r>
      <w:r w:rsidRPr="00D05FE5" w:rsidR="0010123D">
        <w:rPr>
          <w:rFonts w:ascii="Times New Roman" w:eastAsia="Times New Roman" w:hAnsi="Times New Roman"/>
          <w:iCs/>
          <w:sz w:val="24"/>
          <w:szCs w:val="24"/>
          <w:lang w:val="lv-LV" w:eastAsia="lv-LV"/>
        </w:rPr>
        <w:t>Natura 2000)</w:t>
      </w:r>
      <w:r w:rsidR="00C54F2B">
        <w:rPr>
          <w:rFonts w:ascii="Times New Roman" w:eastAsia="Times New Roman" w:hAnsi="Times New Roman"/>
          <w:iCs/>
          <w:sz w:val="24"/>
          <w:szCs w:val="24"/>
          <w:lang w:val="lv-LV" w:eastAsia="lv-LV"/>
        </w:rPr>
        <w:t>, i</w:t>
      </w:r>
      <w:r w:rsidRPr="00D05FE5" w:rsidR="0010123D">
        <w:rPr>
          <w:rFonts w:ascii="Times New Roman" w:hAnsi="Times New Roman"/>
          <w:sz w:val="24"/>
          <w:szCs w:val="24"/>
          <w:lang w:val="lv-LV"/>
        </w:rPr>
        <w:t xml:space="preserve">r dabas parks “Bauska” (aptuveni </w:t>
      </w:r>
      <w:r w:rsidRPr="00D05FE5">
        <w:rPr>
          <w:rFonts w:ascii="Times New Roman" w:hAnsi="Times New Roman"/>
          <w:sz w:val="24"/>
          <w:szCs w:val="24"/>
          <w:lang w:val="lv-LV"/>
        </w:rPr>
        <w:t>6,5 km attālumā</w:t>
      </w:r>
      <w:r w:rsidRPr="00D05FE5" w:rsidR="0010123D">
        <w:rPr>
          <w:rFonts w:ascii="Times New Roman" w:hAnsi="Times New Roman"/>
          <w:sz w:val="24"/>
          <w:szCs w:val="24"/>
          <w:lang w:val="lv-LV"/>
        </w:rPr>
        <w:t xml:space="preserve">) </w:t>
      </w:r>
      <w:r w:rsidRPr="00D05FE5">
        <w:rPr>
          <w:rFonts w:ascii="Times New Roman" w:hAnsi="Times New Roman"/>
          <w:sz w:val="24"/>
          <w:szCs w:val="24"/>
          <w:lang w:val="lv-LV"/>
        </w:rPr>
        <w:t xml:space="preserve">un </w:t>
      </w:r>
      <w:r w:rsidRPr="00D05FE5" w:rsidR="00B7532E">
        <w:rPr>
          <w:rFonts w:ascii="Times New Roman" w:hAnsi="Times New Roman"/>
          <w:sz w:val="24"/>
          <w:szCs w:val="24"/>
          <w:lang w:val="lv-LV"/>
        </w:rPr>
        <w:t xml:space="preserve">dabas liegums </w:t>
      </w:r>
      <w:r w:rsidRPr="00D05FE5">
        <w:rPr>
          <w:rFonts w:ascii="Times New Roman" w:hAnsi="Times New Roman"/>
          <w:sz w:val="24"/>
          <w:szCs w:val="24"/>
          <w:lang w:val="lv-LV"/>
        </w:rPr>
        <w:t xml:space="preserve"> “Paņemūnes meži” (aptuveni 5,1 km attālumā)</w:t>
      </w:r>
      <w:r w:rsidR="00C54F2B">
        <w:rPr>
          <w:rFonts w:ascii="Times New Roman" w:hAnsi="Times New Roman"/>
          <w:sz w:val="24"/>
          <w:szCs w:val="24"/>
          <w:lang w:val="lv-LV"/>
        </w:rPr>
        <w:t>.</w:t>
      </w:r>
    </w:p>
    <w:p w:rsidR="00D06880" w:rsidRPr="00D06880" w:rsidP="0069496A" w14:paraId="646FC672" w14:textId="44363F33">
      <w:pPr>
        <w:widowControl/>
        <w:numPr>
          <w:ilvl w:val="0"/>
          <w:numId w:val="14"/>
        </w:numPr>
        <w:shd w:val="clear" w:color="auto" w:fill="FFFFFF"/>
        <w:tabs>
          <w:tab w:val="right" w:pos="8640"/>
        </w:tabs>
        <w:spacing w:before="120" w:after="120" w:line="240" w:lineRule="auto"/>
        <w:ind w:right="-7"/>
        <w:jc w:val="both"/>
        <w:textAlignment w:val="baseline"/>
        <w:outlineLvl w:val="0"/>
        <w:rPr>
          <w:rFonts w:ascii="Times New Roman" w:eastAsia="Times New Roman" w:hAnsi="Times New Roman"/>
          <w:sz w:val="24"/>
          <w:szCs w:val="24"/>
          <w:lang w:val="lv-LV"/>
        </w:rPr>
      </w:pPr>
      <w:r w:rsidRPr="00D06880">
        <w:rPr>
          <w:rFonts w:ascii="Times New Roman" w:hAnsi="Times New Roman"/>
          <w:kern w:val="2"/>
          <w:sz w:val="24"/>
          <w:szCs w:val="24"/>
          <w:lang w:val="lv-LV"/>
          <w14:ligatures w14:val="standardContextual"/>
        </w:rPr>
        <w:t>Ņemot</w:t>
      </w:r>
      <w:r w:rsidRPr="00D06880">
        <w:rPr>
          <w:rFonts w:ascii="Times New Roman" w:eastAsia="Times New Roman" w:hAnsi="Times New Roman"/>
          <w:sz w:val="24"/>
          <w:szCs w:val="24"/>
          <w:lang w:val="lv-LV"/>
        </w:rPr>
        <w:t xml:space="preserve"> vērā iepriekš minēto, Ierosinātājas Paredzētā darbība atbilst Novērtējuma likuma 4. panta pirmās daļas 1. punktam “</w:t>
      </w:r>
      <w:r w:rsidRPr="00D06880">
        <w:rPr>
          <w:rFonts w:ascii="Times New Roman" w:eastAsia="Times New Roman" w:hAnsi="Times New Roman"/>
          <w:i/>
          <w:sz w:val="24"/>
          <w:szCs w:val="24"/>
          <w:lang w:val="lv-LV"/>
        </w:rPr>
        <w:t>paredzētajām darbībām, kuras ir saistītas ar Novērtējuma likuma </w:t>
      </w:r>
      <w:hyperlink r:id="rId7" w:anchor="piel1" w:tgtFrame="_blank" w:history="1">
        <w:r w:rsidRPr="00D06880">
          <w:rPr>
            <w:rFonts w:ascii="Times New Roman" w:eastAsia="Times New Roman" w:hAnsi="Times New Roman"/>
            <w:i/>
            <w:sz w:val="24"/>
            <w:szCs w:val="24"/>
            <w:lang w:val="lv-LV"/>
          </w:rPr>
          <w:t>1.pielikumā</w:t>
        </w:r>
      </w:hyperlink>
      <w:r w:rsidRPr="00D06880">
        <w:rPr>
          <w:rFonts w:ascii="Times New Roman" w:eastAsia="Times New Roman" w:hAnsi="Times New Roman"/>
          <w:i/>
          <w:sz w:val="24"/>
          <w:szCs w:val="24"/>
          <w:lang w:val="lv-LV"/>
        </w:rPr>
        <w:t> minētajiem objektiem</w:t>
      </w:r>
      <w:r w:rsidRPr="00D06880">
        <w:rPr>
          <w:rFonts w:ascii="Times New Roman" w:eastAsia="Times New Roman" w:hAnsi="Times New Roman"/>
          <w:sz w:val="24"/>
          <w:szCs w:val="24"/>
          <w:lang w:val="lv-LV"/>
        </w:rPr>
        <w:t xml:space="preserve">”, proti, Paredzētā darbība atbilst Novērtējuma likuma 1. pielikuma </w:t>
      </w:r>
      <w:r w:rsidRPr="00D05FE5" w:rsidR="0010123D">
        <w:rPr>
          <w:rFonts w:ascii="Times New Roman" w:eastAsia="Times New Roman" w:hAnsi="Times New Roman"/>
          <w:sz w:val="24"/>
          <w:szCs w:val="24"/>
          <w:lang w:val="lv-LV"/>
        </w:rPr>
        <w:t>11</w:t>
      </w:r>
      <w:r w:rsidRPr="00D06880">
        <w:rPr>
          <w:rFonts w:ascii="Times New Roman" w:eastAsia="Times New Roman" w:hAnsi="Times New Roman"/>
          <w:sz w:val="24"/>
          <w:szCs w:val="24"/>
          <w:lang w:val="lv-LV"/>
        </w:rPr>
        <w:t>. punkta</w:t>
      </w:r>
      <w:r w:rsidRPr="00D05FE5" w:rsidR="0010123D">
        <w:rPr>
          <w:rFonts w:ascii="Times New Roman" w:eastAsia="Times New Roman" w:hAnsi="Times New Roman"/>
          <w:sz w:val="24"/>
          <w:szCs w:val="24"/>
          <w:lang w:val="lv-LV"/>
        </w:rPr>
        <w:t xml:space="preserve">m </w:t>
      </w:r>
      <w:r w:rsidRPr="00D06880">
        <w:rPr>
          <w:rFonts w:ascii="Times New Roman" w:eastAsia="Times New Roman" w:hAnsi="Times New Roman"/>
          <w:sz w:val="24"/>
          <w:szCs w:val="24"/>
          <w:lang w:val="lv-LV"/>
        </w:rPr>
        <w:t xml:space="preserve">- </w:t>
      </w:r>
      <w:r w:rsidRPr="00D05FE5" w:rsidR="0010123D">
        <w:rPr>
          <w:rFonts w:ascii="Times New Roman" w:hAnsi="Times New Roman"/>
          <w:i/>
          <w:iCs/>
          <w:sz w:val="24"/>
          <w:szCs w:val="24"/>
          <w:shd w:val="clear" w:color="auto" w:fill="FFFFFF"/>
          <w:lang w:val="lv-LV"/>
        </w:rPr>
        <w:t>jaunbūvējamas automaģistrāles un ātrsatiksmes autoceļi</w:t>
      </w:r>
      <w:r w:rsidRPr="00D05FE5" w:rsidR="0010123D">
        <w:rPr>
          <w:rFonts w:ascii="Times New Roman" w:hAnsi="Times New Roman"/>
          <w:sz w:val="24"/>
          <w:szCs w:val="24"/>
          <w:lang w:val="lv-LV"/>
        </w:rPr>
        <w:t xml:space="preserve"> </w:t>
      </w:r>
      <w:r w:rsidRPr="00D06880">
        <w:rPr>
          <w:rFonts w:ascii="Times New Roman" w:hAnsi="Times New Roman"/>
          <w:sz w:val="24"/>
          <w:szCs w:val="24"/>
          <w:lang w:val="lv-LV"/>
        </w:rPr>
        <w:t xml:space="preserve">- </w:t>
      </w:r>
      <w:r w:rsidRPr="00D06880">
        <w:rPr>
          <w:rFonts w:ascii="Times New Roman" w:eastAsia="Times New Roman" w:hAnsi="Times New Roman"/>
          <w:sz w:val="24"/>
          <w:szCs w:val="24"/>
          <w:lang w:val="lv-LV"/>
        </w:rPr>
        <w:t>un līdz ar to IVN veikšana ir obligāta.</w:t>
      </w:r>
    </w:p>
    <w:p w:rsidR="00D06880" w:rsidRPr="00D06880" w:rsidP="0069496A" w14:paraId="2F1CEF89" w14:textId="3CD21C82">
      <w:pPr>
        <w:widowControl/>
        <w:numPr>
          <w:ilvl w:val="0"/>
          <w:numId w:val="14"/>
        </w:numPr>
        <w:shd w:val="clear" w:color="auto" w:fill="FFFFFF"/>
        <w:tabs>
          <w:tab w:val="right" w:pos="8640"/>
        </w:tabs>
        <w:spacing w:before="120" w:after="120" w:line="240" w:lineRule="auto"/>
        <w:ind w:right="-7"/>
        <w:jc w:val="both"/>
        <w:textAlignment w:val="baseline"/>
        <w:outlineLvl w:val="0"/>
        <w:rPr>
          <w:rFonts w:ascii="Times New Roman" w:hAnsi="Times New Roman"/>
          <w:sz w:val="24"/>
          <w:szCs w:val="24"/>
          <w:lang w:val="lv-LV"/>
        </w:rPr>
      </w:pPr>
      <w:r w:rsidRPr="00D06880">
        <w:rPr>
          <w:rFonts w:ascii="Times New Roman" w:hAnsi="Times New Roman"/>
          <w:sz w:val="24"/>
          <w:szCs w:val="24"/>
          <w:lang w:val="lv-LV"/>
        </w:rPr>
        <w:t>Novērtējuma likuma 7. pants paredz, ka paredzēto dar</w:t>
      </w:r>
      <w:r w:rsidRPr="00D06880">
        <w:rPr>
          <w:rFonts w:ascii="Times New Roman" w:eastAsia="Times New Roman" w:hAnsi="Times New Roman"/>
          <w:sz w:val="24"/>
          <w:szCs w:val="24"/>
          <w:lang w:val="lv-LV"/>
        </w:rPr>
        <w:t xml:space="preserve">bību, kas minēta šā likuma 4. panta pirmās daļas 1. punktā, ierosinātājs piesaka </w:t>
      </w:r>
      <w:r w:rsidRPr="00D05FE5" w:rsidR="0010123D">
        <w:rPr>
          <w:rFonts w:ascii="Times New Roman" w:eastAsia="Times New Roman" w:hAnsi="Times New Roman"/>
          <w:sz w:val="24"/>
          <w:szCs w:val="24"/>
          <w:lang w:val="lv-LV"/>
        </w:rPr>
        <w:t>Dienestan</w:t>
      </w:r>
      <w:r w:rsidRPr="00D06880">
        <w:rPr>
          <w:rFonts w:ascii="Times New Roman" w:eastAsia="Times New Roman" w:hAnsi="Times New Roman"/>
          <w:sz w:val="24"/>
          <w:szCs w:val="24"/>
          <w:lang w:val="lv-LV"/>
        </w:rPr>
        <w:t>, iesniedzot rakstveida iesniegumu, bet šā likuma 14.</w:t>
      </w:r>
      <w:r w:rsidRPr="00D06880">
        <w:rPr>
          <w:rFonts w:ascii="Times New Roman" w:eastAsia="Times New Roman" w:hAnsi="Times New Roman"/>
          <w:sz w:val="24"/>
          <w:szCs w:val="24"/>
          <w:vertAlign w:val="superscript"/>
          <w:lang w:val="lv-LV"/>
        </w:rPr>
        <w:t xml:space="preserve">1 </w:t>
      </w:r>
      <w:r w:rsidRPr="00D06880">
        <w:rPr>
          <w:rFonts w:ascii="Times New Roman" w:eastAsia="Times New Roman" w:hAnsi="Times New Roman"/>
          <w:sz w:val="24"/>
          <w:szCs w:val="24"/>
          <w:lang w:val="lv-LV"/>
        </w:rPr>
        <w:t>panta 1.</w:t>
      </w:r>
      <w:r w:rsidRPr="00D06880">
        <w:rPr>
          <w:rFonts w:ascii="Times New Roman" w:eastAsia="Times New Roman" w:hAnsi="Times New Roman"/>
          <w:sz w:val="24"/>
          <w:szCs w:val="24"/>
          <w:vertAlign w:val="superscript"/>
          <w:lang w:val="lv-LV"/>
        </w:rPr>
        <w:t>1</w:t>
      </w:r>
      <w:r w:rsidRPr="00D06880">
        <w:rPr>
          <w:rFonts w:ascii="Times New Roman" w:eastAsia="Times New Roman" w:hAnsi="Times New Roman"/>
          <w:sz w:val="24"/>
          <w:szCs w:val="24"/>
          <w:lang w:val="lv-LV"/>
        </w:rPr>
        <w:t xml:space="preserve"> daļa paredz, ka </w:t>
      </w:r>
      <w:r w:rsidRPr="00D05FE5" w:rsidR="0010123D">
        <w:rPr>
          <w:rFonts w:ascii="Times New Roman" w:eastAsia="Times New Roman" w:hAnsi="Times New Roman"/>
          <w:sz w:val="24"/>
          <w:szCs w:val="24"/>
          <w:lang w:val="lv-LV"/>
        </w:rPr>
        <w:t>Dienests</w:t>
      </w:r>
      <w:r w:rsidRPr="00D06880">
        <w:rPr>
          <w:rFonts w:ascii="Times New Roman" w:eastAsia="Times New Roman" w:hAnsi="Times New Roman"/>
          <w:sz w:val="24"/>
          <w:szCs w:val="24"/>
          <w:lang w:val="lv-LV"/>
        </w:rPr>
        <w:t xml:space="preserve"> par </w:t>
      </w:r>
      <w:r w:rsidRPr="00D06880">
        <w:rPr>
          <w:rFonts w:ascii="Times New Roman" w:hAnsi="Times New Roman"/>
          <w:sz w:val="24"/>
          <w:szCs w:val="24"/>
          <w:lang w:val="lv-LV"/>
        </w:rPr>
        <w:t>IVN procedūras piemērošanu izdod lēmumu.</w:t>
      </w:r>
      <w:bookmarkStart w:id="5" w:name="_Hlk139822520"/>
    </w:p>
    <w:bookmarkEnd w:id="5"/>
    <w:p w:rsidR="00D06880" w:rsidRPr="00D06880" w:rsidP="0069496A" w14:paraId="041E38BC" w14:textId="77777777">
      <w:pPr>
        <w:widowControl/>
        <w:numPr>
          <w:ilvl w:val="0"/>
          <w:numId w:val="14"/>
        </w:numPr>
        <w:spacing w:before="120" w:after="120" w:line="240" w:lineRule="auto"/>
        <w:jc w:val="both"/>
        <w:rPr>
          <w:rFonts w:ascii="Times New Roman" w:hAnsi="Times New Roman"/>
          <w:sz w:val="24"/>
          <w:szCs w:val="24"/>
          <w:lang w:val="lv-LV"/>
        </w:rPr>
      </w:pPr>
      <w:r w:rsidRPr="00D06880">
        <w:rPr>
          <w:rFonts w:ascii="Times New Roman" w:eastAsia="Times New Roman" w:hAnsi="Times New Roman"/>
          <w:sz w:val="24"/>
          <w:szCs w:val="24"/>
          <w:lang w:val="lv-LV"/>
        </w:rPr>
        <w:t xml:space="preserve">Saskaņā ar Novērtējuma likuma 15. panta pirmajā daļā noteikto, </w:t>
      </w:r>
      <w:r w:rsidRPr="00D06880">
        <w:rPr>
          <w:rFonts w:ascii="Times New Roman" w:eastAsia="Times New Roman" w:hAnsi="Times New Roman"/>
          <w:i/>
          <w:sz w:val="24"/>
          <w:szCs w:val="24"/>
          <w:lang w:val="lv-LV"/>
        </w:rPr>
        <w:t>“</w:t>
      </w:r>
      <w:r w:rsidRPr="00D06880">
        <w:rPr>
          <w:rFonts w:ascii="Times New Roman" w:eastAsia="Times New Roman" w:hAnsi="Times New Roman"/>
          <w:i/>
          <w:iCs/>
          <w:sz w:val="24"/>
          <w:szCs w:val="24"/>
          <w:lang w:val="lv-LV"/>
        </w:rPr>
        <w:t>ja ir saņemts kompetentās institūcijas lēmums, ka veicams paredzētās darbības ietekmes novērtējums, ierosinātājs vismaz vienā pašvaldības izdotajā laikrakstā vai citā vietējā laikrakstā publicē paziņojumu par paredzēto darbību un sabiedrības iespēju iesniegt rakstveida priekšlikumus par šīs darbības iespējamo ietekmi uz vidi, kā arī individuāli informē tos nekustamo īpašumu īpašniekus (valdītājus), kuru nekustamie īpašumi robežojas ar paredzētās darbības teritoriju. Ierosinātājs minēto paziņojumu ievietošanai mājaslapā internetā elektroniski iesniedz kompetentajai institūcijai un pašvaldībai, kuras administratīvajā teritorijā tiek plānota paredzētā darbība</w:t>
      </w:r>
      <w:r w:rsidRPr="00D06880">
        <w:rPr>
          <w:rFonts w:ascii="Times New Roman" w:eastAsia="Times New Roman" w:hAnsi="Times New Roman"/>
          <w:i/>
          <w:sz w:val="24"/>
          <w:szCs w:val="24"/>
          <w:lang w:val="lv-LV"/>
        </w:rPr>
        <w:t>”.</w:t>
      </w:r>
      <w:r w:rsidRPr="00D06880">
        <w:rPr>
          <w:rFonts w:ascii="Times New Roman" w:eastAsia="Times New Roman" w:hAnsi="Times New Roman"/>
          <w:sz w:val="24"/>
          <w:szCs w:val="24"/>
          <w:lang w:val="lv-LV"/>
        </w:rPr>
        <w:t xml:space="preserve"> </w:t>
      </w:r>
    </w:p>
    <w:p w:rsidR="00D06880" w:rsidRPr="00D06880" w:rsidP="0069496A" w14:paraId="16732F3C" w14:textId="1761F516">
      <w:pPr>
        <w:widowControl/>
        <w:numPr>
          <w:ilvl w:val="0"/>
          <w:numId w:val="14"/>
        </w:numPr>
        <w:spacing w:before="120" w:after="120" w:line="240" w:lineRule="auto"/>
        <w:jc w:val="both"/>
        <w:rPr>
          <w:rFonts w:ascii="Times New Roman" w:hAnsi="Times New Roman"/>
          <w:sz w:val="24"/>
          <w:szCs w:val="24"/>
          <w:lang w:val="lv-LV"/>
        </w:rPr>
      </w:pPr>
      <w:r w:rsidRPr="00D06880">
        <w:rPr>
          <w:rFonts w:ascii="Times New Roman" w:eastAsia="Times New Roman" w:hAnsi="Times New Roman"/>
          <w:sz w:val="24"/>
          <w:szCs w:val="24"/>
          <w:lang w:val="lv-LV"/>
        </w:rPr>
        <w:t xml:space="preserve">Ievērojot </w:t>
      </w:r>
      <w:r w:rsidRPr="00D06880">
        <w:rPr>
          <w:rFonts w:ascii="Times New Roman" w:hAnsi="Times New Roman"/>
          <w:sz w:val="24"/>
          <w:szCs w:val="24"/>
          <w:lang w:val="lv-LV"/>
        </w:rPr>
        <w:t>Novērtējuma likuma 15. panta otrās daļas nosacījumu, kā arī ņemot vērā Paredzētās darbības specifiku un mērogu</w:t>
      </w:r>
      <w:r w:rsidRPr="00D06880">
        <w:rPr>
          <w:rFonts w:ascii="Times New Roman" w:eastAsia="Times New Roman" w:hAnsi="Times New Roman"/>
          <w:sz w:val="24"/>
          <w:szCs w:val="24"/>
          <w:lang w:val="lv-LV"/>
        </w:rPr>
        <w:t>,</w:t>
      </w:r>
      <w:r w:rsidRPr="00D06880">
        <w:rPr>
          <w:rFonts w:ascii="Times New Roman" w:hAnsi="Times New Roman"/>
          <w:sz w:val="24"/>
          <w:szCs w:val="24"/>
          <w:lang w:val="lv-LV"/>
        </w:rPr>
        <w:t xml:space="preserve"> nosakāms, ka sākotnējās sabiedriskās apspriešanas ietvaros organizējama arī sākotnējās sabiedriskās apspriešanas sanāksme. Tās nepieciešamība saistīta gan ar plānotās darbības apjomu un mērogu, gan ar ietekmes telpisko izplatību un tās sagaidāmo ietekmi ilgtermiņā. </w:t>
      </w:r>
      <w:r w:rsidRPr="00D05FE5" w:rsidR="0010123D">
        <w:rPr>
          <w:rFonts w:ascii="Times New Roman" w:eastAsia="Times New Roman" w:hAnsi="Times New Roman"/>
          <w:sz w:val="24"/>
          <w:szCs w:val="24"/>
          <w:lang w:val="lv-LV"/>
        </w:rPr>
        <w:t>Dienests</w:t>
      </w:r>
      <w:r w:rsidRPr="00D06880">
        <w:rPr>
          <w:rFonts w:ascii="Times New Roman" w:eastAsia="Times New Roman" w:hAnsi="Times New Roman"/>
          <w:sz w:val="24"/>
          <w:szCs w:val="24"/>
          <w:lang w:val="lv-LV"/>
        </w:rPr>
        <w:t xml:space="preserve"> vērš Ierosinātājas uzmanību, ka Ministru kabineta 2015. gada 13. janvāra noteikumu Nr. 18 “Kārtība, kādā novērtē paredzētās darbības ietekmi uz vidi un akceptē paredzēto darbību” (turpmāk - </w:t>
      </w:r>
      <w:r w:rsidRPr="00D06880">
        <w:rPr>
          <w:rFonts w:ascii="Times New Roman" w:hAnsi="Times New Roman"/>
          <w:sz w:val="24"/>
          <w:szCs w:val="24"/>
          <w:shd w:val="clear" w:color="auto" w:fill="FFFFFF"/>
          <w:lang w:val="lv-LV"/>
        </w:rPr>
        <w:t xml:space="preserve">Noteikumi Nr. 18) </w:t>
      </w:r>
      <w:r w:rsidRPr="00D06880">
        <w:rPr>
          <w:rFonts w:ascii="Times New Roman" w:eastAsia="Times New Roman" w:hAnsi="Times New Roman"/>
          <w:sz w:val="24"/>
          <w:szCs w:val="24"/>
          <w:lang w:val="lv-LV"/>
        </w:rPr>
        <w:t xml:space="preserve">25. punkts noteic, ka </w:t>
      </w:r>
      <w:r w:rsidRPr="00D06880">
        <w:rPr>
          <w:rFonts w:ascii="Times New Roman" w:hAnsi="Times New Roman"/>
          <w:i/>
          <w:iCs/>
          <w:sz w:val="24"/>
          <w:szCs w:val="24"/>
          <w:shd w:val="clear" w:color="auto" w:fill="FFFFFF"/>
          <w:lang w:val="lv-LV"/>
        </w:rPr>
        <w:t>“</w:t>
      </w:r>
      <w:r w:rsidRPr="00D06880">
        <w:rPr>
          <w:rFonts w:ascii="Times New Roman" w:hAnsi="Times New Roman"/>
          <w:sz w:val="24"/>
          <w:szCs w:val="24"/>
          <w:shd w:val="clear" w:color="auto" w:fill="FFFFFF"/>
          <w:lang w:val="lv-LV"/>
        </w:rPr>
        <w:t>[..]</w:t>
      </w:r>
      <w:r w:rsidRPr="00D06880">
        <w:rPr>
          <w:rFonts w:ascii="Times New Roman" w:hAnsi="Times New Roman"/>
          <w:i/>
          <w:iCs/>
          <w:sz w:val="24"/>
          <w:szCs w:val="24"/>
          <w:shd w:val="clear" w:color="auto" w:fill="FFFFFF"/>
          <w:lang w:val="lv-LV"/>
        </w:rPr>
        <w:t xml:space="preserve"> </w:t>
      </w:r>
      <w:r w:rsidRPr="00D06880">
        <w:rPr>
          <w:rFonts w:ascii="Times New Roman" w:hAnsi="Times New Roman"/>
          <w:sz w:val="24"/>
          <w:szCs w:val="24"/>
          <w:shd w:val="clear" w:color="auto" w:fill="FFFFFF"/>
          <w:lang w:val="lv-LV"/>
        </w:rPr>
        <w:t>paziņojumā par sākotnējo apspriešanu papildus norāda sākotnējās sanāksmes norises vietu un laiku, kā arī informāciju par pieslēgšanos sanāksmei tiešsaistē. Ierosinātājs sākotnējo sanāksmi rīko hibrīdformā (sanāksme, kur daļa tās dalībnieku var atrasties klātienē (parasti – sanāksmju telpā), bet pārējie var pieslēgties attālināti), lai nodrošinātu pilnvērtīgu sabiedrības pārstāvju dalību gan klātienes, gan neklātienes formā, ne agrāk kā 10 dienas pēc publikācijas pašvaldības izdotajā laikrakstā vai citā vietējā laikrakstā. Ierosinātājs nodrošina sanāksmei atbilstošu tehnisko nodrošinājumu</w:t>
      </w:r>
      <w:r w:rsidRPr="00D06880">
        <w:rPr>
          <w:rFonts w:ascii="Times New Roman" w:hAnsi="Times New Roman"/>
          <w:i/>
          <w:iCs/>
          <w:sz w:val="24"/>
          <w:szCs w:val="24"/>
          <w:shd w:val="clear" w:color="auto" w:fill="FFFFFF"/>
          <w:lang w:val="lv-LV"/>
        </w:rPr>
        <w:t>.”.</w:t>
      </w:r>
    </w:p>
    <w:p w:rsidR="00D06880" w:rsidRPr="00D06880" w:rsidP="0069496A" w14:paraId="5BE7C758" w14:textId="5FBEFD69">
      <w:pPr>
        <w:widowControl/>
        <w:numPr>
          <w:ilvl w:val="0"/>
          <w:numId w:val="14"/>
        </w:numPr>
        <w:tabs>
          <w:tab w:val="left" w:pos="0"/>
        </w:tabs>
        <w:spacing w:before="120" w:after="120" w:line="240" w:lineRule="auto"/>
        <w:jc w:val="both"/>
        <w:rPr>
          <w:rFonts w:ascii="Times New Roman" w:hAnsi="Times New Roman"/>
          <w:sz w:val="24"/>
          <w:szCs w:val="24"/>
          <w:lang w:val="lv-LV"/>
        </w:rPr>
      </w:pPr>
      <w:r w:rsidRPr="00D06880">
        <w:rPr>
          <w:rFonts w:ascii="Times New Roman" w:hAnsi="Times New Roman"/>
          <w:sz w:val="24"/>
          <w:szCs w:val="24"/>
          <w:lang w:val="lv-LV"/>
        </w:rPr>
        <w:t xml:space="preserve">Novērtējuma likuma 16. panta pirmā daļa paredz, ka pēc ierosinātājas rakstveida pieprasījuma kompetentā institūcija, kas konkrētajā gadījumā ir </w:t>
      </w:r>
      <w:r w:rsidRPr="00D05FE5" w:rsidR="0069496A">
        <w:rPr>
          <w:rFonts w:ascii="Times New Roman" w:hAnsi="Times New Roman"/>
          <w:sz w:val="24"/>
          <w:szCs w:val="24"/>
          <w:lang w:val="lv-LV"/>
        </w:rPr>
        <w:t>Dienests</w:t>
      </w:r>
      <w:r w:rsidRPr="00D06880">
        <w:rPr>
          <w:rFonts w:ascii="Times New Roman" w:hAnsi="Times New Roman"/>
          <w:sz w:val="24"/>
          <w:szCs w:val="24"/>
          <w:lang w:val="lv-LV"/>
        </w:rPr>
        <w:t xml:space="preserve">, izstrādā un nosūta ierosinātājam programmu, kas ietver prasības attiecībā uz informācijas apjomu un detalizācijas pakāpi, kā arī </w:t>
      </w:r>
      <w:r w:rsidRPr="00D06880">
        <w:rPr>
          <w:rFonts w:ascii="Times New Roman" w:hAnsi="Times New Roman"/>
          <w:sz w:val="24"/>
          <w:szCs w:val="24"/>
          <w:lang w:val="lv-LV"/>
        </w:rPr>
        <w:t xml:space="preserve">ietekmes novērtējuma turpmākai veikšanai nepieciešamo pētījumu un organizatorisko pasākumu kopumu. </w:t>
      </w:r>
      <w:r w:rsidRPr="00D06880">
        <w:rPr>
          <w:rFonts w:ascii="Times New Roman" w:hAnsi="Times New Roman"/>
          <w:sz w:val="24"/>
          <w:szCs w:val="24"/>
          <w:shd w:val="clear" w:color="auto" w:fill="FFFFFF"/>
          <w:lang w:val="lv-LV"/>
        </w:rPr>
        <w:t>Noteikumu Nr. 18</w:t>
      </w:r>
      <w:r w:rsidRPr="00D06880">
        <w:rPr>
          <w:rFonts w:ascii="Times New Roman" w:eastAsia="Times New Roman" w:hAnsi="Times New Roman"/>
          <w:sz w:val="24"/>
          <w:szCs w:val="24"/>
          <w:lang w:val="lv-LV"/>
        </w:rPr>
        <w:t xml:space="preserve"> </w:t>
      </w:r>
      <w:r w:rsidRPr="00D06880">
        <w:rPr>
          <w:rFonts w:ascii="Times New Roman" w:hAnsi="Times New Roman"/>
          <w:sz w:val="24"/>
          <w:szCs w:val="24"/>
          <w:lang w:val="lv-LV"/>
        </w:rPr>
        <w:t xml:space="preserve">29. punkts noteic, ka paredzētās darbības ierosinātājs rakstisku pieprasījumu par programmas izstrādāšanu iesniedz </w:t>
      </w:r>
      <w:r w:rsidRPr="00D05FE5" w:rsidR="0069496A">
        <w:rPr>
          <w:rFonts w:ascii="Times New Roman" w:hAnsi="Times New Roman"/>
          <w:sz w:val="24"/>
          <w:szCs w:val="24"/>
          <w:lang w:val="lv-LV"/>
        </w:rPr>
        <w:t>Dienestā</w:t>
      </w:r>
      <w:r w:rsidRPr="00D06880">
        <w:rPr>
          <w:rFonts w:ascii="Times New Roman" w:hAnsi="Times New Roman"/>
          <w:sz w:val="24"/>
          <w:szCs w:val="24"/>
          <w:lang w:val="lv-LV"/>
        </w:rPr>
        <w:t xml:space="preserve"> ne agrāk kā pēc paziņojuma par sākotnējo apspriešanu publicēšanas atbilstoši šo noteikumu 22.1. apakšpunktam.</w:t>
      </w:r>
    </w:p>
    <w:p w:rsidR="00D06880" w:rsidRPr="00D06880" w:rsidP="00D06880" w14:paraId="65D75DCC" w14:textId="77777777">
      <w:pPr>
        <w:widowControl/>
        <w:tabs>
          <w:tab w:val="left" w:pos="550"/>
        </w:tabs>
        <w:spacing w:before="240" w:after="120" w:line="240" w:lineRule="auto"/>
        <w:jc w:val="both"/>
        <w:rPr>
          <w:rFonts w:ascii="Times New Roman" w:eastAsia="Times New Roman" w:hAnsi="Times New Roman"/>
          <w:b/>
          <w:sz w:val="24"/>
          <w:szCs w:val="24"/>
          <w:lang w:val="lv-LV"/>
        </w:rPr>
      </w:pPr>
      <w:r w:rsidRPr="00D06880">
        <w:rPr>
          <w:rFonts w:ascii="Times New Roman" w:eastAsia="Times New Roman" w:hAnsi="Times New Roman"/>
          <w:b/>
          <w:sz w:val="24"/>
          <w:szCs w:val="24"/>
          <w:lang w:val="lv-LV"/>
        </w:rPr>
        <w:t>Izvērtētā dokumentācija:</w:t>
      </w:r>
    </w:p>
    <w:p w:rsidR="00D06880" w:rsidRPr="00D06880" w:rsidP="0069496A" w14:paraId="12364B5B" w14:textId="53770935">
      <w:pPr>
        <w:spacing w:before="120" w:after="120"/>
        <w:rPr>
          <w:rFonts w:ascii="Times New Roman" w:hAnsi="Times New Roman"/>
          <w:b/>
          <w:bCs/>
          <w:sz w:val="24"/>
          <w:szCs w:val="24"/>
          <w:lang w:val="lv-LV"/>
        </w:rPr>
      </w:pPr>
      <w:r w:rsidRPr="00D06880">
        <w:rPr>
          <w:rFonts w:ascii="Times New Roman" w:hAnsi="Times New Roman"/>
          <w:sz w:val="24"/>
          <w:szCs w:val="24"/>
          <w:lang w:val="lv-LV"/>
        </w:rPr>
        <w:t xml:space="preserve">Ierosinātāja 2025. gada </w:t>
      </w:r>
      <w:r w:rsidRPr="00D05FE5">
        <w:rPr>
          <w:rFonts w:ascii="Times New Roman" w:hAnsi="Times New Roman"/>
          <w:sz w:val="24"/>
          <w:szCs w:val="24"/>
          <w:lang w:val="lv-LV"/>
        </w:rPr>
        <w:t>1. oktobra</w:t>
      </w:r>
      <w:r w:rsidRPr="00D06880">
        <w:rPr>
          <w:rFonts w:ascii="Times New Roman" w:hAnsi="Times New Roman"/>
          <w:sz w:val="24"/>
          <w:szCs w:val="24"/>
          <w:lang w:val="lv-LV"/>
        </w:rPr>
        <w:t xml:space="preserve"> </w:t>
      </w:r>
      <w:r w:rsidRPr="00D05FE5">
        <w:rPr>
          <w:rFonts w:ascii="Times New Roman" w:hAnsi="Times New Roman"/>
          <w:sz w:val="24"/>
          <w:szCs w:val="24"/>
          <w:lang w:val="lv-LV"/>
        </w:rPr>
        <w:t xml:space="preserve">iesniegums </w:t>
      </w:r>
      <w:r w:rsidRPr="00D06880">
        <w:rPr>
          <w:rFonts w:ascii="Times New Roman" w:hAnsi="Times New Roman"/>
          <w:sz w:val="24"/>
          <w:szCs w:val="24"/>
          <w:lang w:val="lv-LV"/>
        </w:rPr>
        <w:t>Nr. </w:t>
      </w:r>
      <w:r w:rsidRPr="00D05FE5">
        <w:rPr>
          <w:rFonts w:ascii="Times New Roman" w:eastAsia="Times New Roman" w:hAnsi="Times New Roman"/>
          <w:iCs/>
          <w:sz w:val="24"/>
          <w:szCs w:val="24"/>
          <w:lang w:val="lv-LV"/>
        </w:rPr>
        <w:t>2.1 / 18063 “</w:t>
      </w:r>
      <w:r w:rsidRPr="00D05FE5">
        <w:rPr>
          <w:rFonts w:ascii="Times New Roman" w:hAnsi="Times New Roman"/>
          <w:sz w:val="24"/>
          <w:szCs w:val="24"/>
          <w:lang w:val="lv-LV"/>
        </w:rPr>
        <w:t xml:space="preserve">Par </w:t>
      </w:r>
      <w:bookmarkStart w:id="6" w:name="_Hlk218959665"/>
      <w:r w:rsidRPr="00D05FE5">
        <w:rPr>
          <w:rFonts w:ascii="Times New Roman" w:hAnsi="Times New Roman"/>
          <w:sz w:val="24"/>
          <w:szCs w:val="24"/>
          <w:lang w:val="lv-LV"/>
        </w:rPr>
        <w:t>autoceļa A7 Rīga – Bauska – Lietuvas robeža (Grenctāle) pārbūv</w:t>
      </w:r>
      <w:bookmarkEnd w:id="6"/>
      <w:r w:rsidRPr="00D05FE5">
        <w:rPr>
          <w:rFonts w:ascii="Times New Roman" w:hAnsi="Times New Roman"/>
          <w:sz w:val="24"/>
          <w:szCs w:val="24"/>
          <w:lang w:val="lv-LV"/>
        </w:rPr>
        <w:t>i”</w:t>
      </w:r>
      <w:r w:rsidRPr="00D05FE5">
        <w:rPr>
          <w:rFonts w:ascii="Times New Roman" w:eastAsia="Times New Roman" w:hAnsi="Times New Roman"/>
          <w:iCs/>
          <w:sz w:val="24"/>
          <w:szCs w:val="24"/>
          <w:lang w:val="lv-LV"/>
        </w:rPr>
        <w:t xml:space="preserve"> ar pielikumiem</w:t>
      </w:r>
      <w:r w:rsidRPr="00D06880">
        <w:rPr>
          <w:rFonts w:ascii="Times New Roman" w:eastAsia="Times New Roman" w:hAnsi="Times New Roman"/>
          <w:sz w:val="24"/>
          <w:szCs w:val="24"/>
          <w:lang w:val="lv-LV"/>
        </w:rPr>
        <w:t>.</w:t>
      </w:r>
    </w:p>
    <w:p w:rsidR="00D06880" w:rsidRPr="00D06880" w:rsidP="00D06880" w14:paraId="47F59948" w14:textId="77777777">
      <w:pPr>
        <w:widowControl/>
        <w:spacing w:before="240" w:after="240" w:line="240" w:lineRule="auto"/>
        <w:jc w:val="both"/>
        <w:rPr>
          <w:rFonts w:ascii="Times New Roman" w:eastAsia="Times New Roman" w:hAnsi="Times New Roman"/>
          <w:bCs/>
          <w:sz w:val="24"/>
          <w:szCs w:val="24"/>
          <w:lang w:val="lv-LV"/>
        </w:rPr>
      </w:pPr>
      <w:r w:rsidRPr="00D06880">
        <w:rPr>
          <w:rFonts w:ascii="Times New Roman" w:eastAsia="Times New Roman" w:hAnsi="Times New Roman"/>
          <w:b/>
          <w:sz w:val="24"/>
          <w:szCs w:val="24"/>
          <w:lang w:val="lv-LV"/>
        </w:rPr>
        <w:t>Lēmums:</w:t>
      </w:r>
      <w:r w:rsidRPr="00D06880">
        <w:rPr>
          <w:rFonts w:ascii="Times New Roman" w:eastAsia="Times New Roman" w:hAnsi="Times New Roman"/>
          <w:sz w:val="24"/>
          <w:szCs w:val="24"/>
          <w:lang w:val="lv-LV"/>
        </w:rPr>
        <w:t xml:space="preserve"> </w:t>
      </w:r>
    </w:p>
    <w:p w:rsidR="00D06880" w:rsidRPr="00D06880" w:rsidP="00D06880" w14:paraId="340633FA" w14:textId="55F3E45F">
      <w:pPr>
        <w:widowControl/>
        <w:spacing w:before="240" w:after="240" w:line="240" w:lineRule="auto"/>
        <w:jc w:val="both"/>
        <w:rPr>
          <w:rFonts w:ascii="Times New Roman" w:eastAsia="Times New Roman" w:hAnsi="Times New Roman"/>
          <w:bCs/>
          <w:sz w:val="24"/>
          <w:szCs w:val="24"/>
          <w:lang w:val="lv-LV"/>
        </w:rPr>
      </w:pPr>
      <w:r w:rsidRPr="00D06880">
        <w:rPr>
          <w:rFonts w:ascii="Times New Roman" w:hAnsi="Times New Roman"/>
          <w:sz w:val="24"/>
          <w:szCs w:val="24"/>
          <w:lang w:val="lv-LV"/>
        </w:rPr>
        <w:t xml:space="preserve">Piemērot </w:t>
      </w:r>
      <w:r w:rsidRPr="00D05FE5" w:rsidR="0069496A">
        <w:rPr>
          <w:rFonts w:ascii="Times New Roman" w:hAnsi="Times New Roman"/>
          <w:sz w:val="24"/>
          <w:szCs w:val="24"/>
          <w:lang w:val="lv-LV"/>
        </w:rPr>
        <w:t>Valsts s</w:t>
      </w:r>
      <w:r w:rsidRPr="00D06880" w:rsidR="0069496A">
        <w:rPr>
          <w:rFonts w:ascii="Times New Roman" w:hAnsi="Times New Roman"/>
          <w:sz w:val="24"/>
          <w:szCs w:val="24"/>
          <w:lang w:val="lv-LV"/>
        </w:rPr>
        <w:t>abiedrība</w:t>
      </w:r>
      <w:r w:rsidR="00C54F2B">
        <w:rPr>
          <w:rFonts w:ascii="Times New Roman" w:hAnsi="Times New Roman"/>
          <w:sz w:val="24"/>
          <w:szCs w:val="24"/>
          <w:lang w:val="lv-LV"/>
        </w:rPr>
        <w:t>s</w:t>
      </w:r>
      <w:r w:rsidRPr="00D06880" w:rsidR="0069496A">
        <w:rPr>
          <w:rFonts w:ascii="Times New Roman" w:hAnsi="Times New Roman"/>
          <w:sz w:val="24"/>
          <w:szCs w:val="24"/>
          <w:lang w:val="lv-LV"/>
        </w:rPr>
        <w:t xml:space="preserve"> ar ierobežotu atbildību “</w:t>
      </w:r>
      <w:r w:rsidRPr="00D05FE5" w:rsidR="0069496A">
        <w:rPr>
          <w:rFonts w:ascii="Times New Roman" w:hAnsi="Times New Roman"/>
          <w:sz w:val="24"/>
          <w:szCs w:val="24"/>
          <w:lang w:val="lv-LV"/>
        </w:rPr>
        <w:t>Latvijas Valsts ceļi</w:t>
      </w:r>
      <w:r w:rsidRPr="00D06880" w:rsidR="0069496A">
        <w:rPr>
          <w:rFonts w:ascii="Times New Roman" w:hAnsi="Times New Roman"/>
          <w:sz w:val="24"/>
          <w:szCs w:val="24"/>
          <w:lang w:val="lv-LV"/>
        </w:rPr>
        <w:t>”, reģ. Nr. </w:t>
      </w:r>
      <w:r w:rsidRPr="00D05FE5" w:rsidR="0069496A">
        <w:rPr>
          <w:rFonts w:ascii="Times New Roman" w:eastAsia="Times New Roman" w:hAnsi="Times New Roman"/>
          <w:sz w:val="24"/>
          <w:szCs w:val="24"/>
          <w:lang w:val="lv-LV"/>
        </w:rPr>
        <w:t>40003344207</w:t>
      </w:r>
      <w:r w:rsidRPr="00D06880">
        <w:rPr>
          <w:rFonts w:ascii="Times New Roman" w:hAnsi="Times New Roman"/>
          <w:sz w:val="24"/>
          <w:szCs w:val="24"/>
          <w:lang w:val="lv-LV"/>
        </w:rPr>
        <w:t xml:space="preserve">, paredzētajai darbībai – </w:t>
      </w:r>
      <w:r w:rsidRPr="00D05FE5" w:rsidR="0069496A">
        <w:rPr>
          <w:rFonts w:ascii="Times New Roman" w:hAnsi="Times New Roman"/>
          <w:sz w:val="24"/>
          <w:szCs w:val="24"/>
          <w:lang w:val="lv-LV"/>
        </w:rPr>
        <w:t xml:space="preserve">Valsts galvenā autoceļa A7 Rīga–Bauska–Lietuvas robeža (Grenctāle) posma 71,8 - 86,1 km (Bauskas apvedceļa beigas – Lietuvas robeža) pārbūvei </w:t>
      </w:r>
      <w:r w:rsidRPr="00D06880">
        <w:rPr>
          <w:rFonts w:ascii="Times New Roman" w:eastAsia="Times New Roman" w:hAnsi="Times New Roman"/>
          <w:sz w:val="24"/>
          <w:szCs w:val="24"/>
          <w:lang w:val="lv-LV"/>
        </w:rPr>
        <w:t>– ietekmes uz vidi novērtējuma procedūru.</w:t>
      </w:r>
    </w:p>
    <w:p w:rsidR="00D06880" w:rsidRPr="00D06880" w:rsidP="00D06880" w14:paraId="6D04C8F9" w14:textId="77777777">
      <w:pPr>
        <w:widowControl/>
        <w:spacing w:before="240" w:after="240" w:line="240" w:lineRule="auto"/>
        <w:jc w:val="both"/>
        <w:rPr>
          <w:rFonts w:ascii="Times New Roman" w:eastAsia="Times New Roman" w:hAnsi="Times New Roman"/>
          <w:bCs/>
          <w:sz w:val="24"/>
          <w:szCs w:val="24"/>
          <w:lang w:val="lv-LV"/>
        </w:rPr>
      </w:pPr>
      <w:r w:rsidRPr="00D06880">
        <w:rPr>
          <w:rFonts w:ascii="Times New Roman" w:eastAsia="Times New Roman" w:hAnsi="Times New Roman"/>
          <w:b/>
          <w:sz w:val="24"/>
          <w:szCs w:val="24"/>
          <w:lang w:val="lv-LV"/>
        </w:rPr>
        <w:t>Lēmuma pieņemšanas pamatojums:</w:t>
      </w:r>
      <w:r w:rsidRPr="00D06880">
        <w:rPr>
          <w:rFonts w:ascii="Times New Roman" w:eastAsia="Times New Roman" w:hAnsi="Times New Roman"/>
          <w:sz w:val="24"/>
          <w:szCs w:val="24"/>
          <w:lang w:val="lv-LV"/>
        </w:rPr>
        <w:t xml:space="preserve"> </w:t>
      </w:r>
    </w:p>
    <w:p w:rsidR="00D06880" w:rsidRPr="00D06880" w:rsidP="00D06880" w14:paraId="6B9ED969" w14:textId="5148DC96">
      <w:pPr>
        <w:widowControl/>
        <w:spacing w:before="240" w:after="240" w:line="240" w:lineRule="auto"/>
        <w:ind w:right="18"/>
        <w:jc w:val="both"/>
        <w:rPr>
          <w:rFonts w:ascii="Times New Roman" w:eastAsia="Times New Roman" w:hAnsi="Times New Roman"/>
          <w:bCs/>
          <w:sz w:val="24"/>
          <w:szCs w:val="24"/>
          <w:lang w:val="lv-LV"/>
        </w:rPr>
      </w:pPr>
      <w:r w:rsidRPr="00D06880">
        <w:rPr>
          <w:rFonts w:ascii="Times New Roman" w:eastAsia="Times New Roman" w:hAnsi="Times New Roman"/>
          <w:sz w:val="24"/>
          <w:szCs w:val="24"/>
          <w:lang w:val="lv-LV"/>
        </w:rPr>
        <w:t>Novērtējuma likuma 4. panta pirmās daļas 1. punkts, 7. pants, 14.</w:t>
      </w:r>
      <w:r w:rsidRPr="00D06880">
        <w:rPr>
          <w:rFonts w:ascii="Times New Roman" w:eastAsia="Times New Roman" w:hAnsi="Times New Roman"/>
          <w:sz w:val="24"/>
          <w:szCs w:val="24"/>
          <w:vertAlign w:val="superscript"/>
          <w:lang w:val="lv-LV"/>
        </w:rPr>
        <w:t xml:space="preserve">1 </w:t>
      </w:r>
      <w:r w:rsidRPr="00D06880">
        <w:rPr>
          <w:rFonts w:ascii="Times New Roman" w:eastAsia="Times New Roman" w:hAnsi="Times New Roman"/>
          <w:sz w:val="24"/>
          <w:szCs w:val="24"/>
          <w:lang w:val="lv-LV"/>
        </w:rPr>
        <w:t>panta 1.</w:t>
      </w:r>
      <w:r w:rsidRPr="00D06880">
        <w:rPr>
          <w:rFonts w:ascii="Times New Roman" w:eastAsia="Times New Roman" w:hAnsi="Times New Roman"/>
          <w:sz w:val="24"/>
          <w:szCs w:val="24"/>
          <w:vertAlign w:val="superscript"/>
          <w:lang w:val="lv-LV"/>
        </w:rPr>
        <w:t>1</w:t>
      </w:r>
      <w:r w:rsidRPr="00D06880">
        <w:rPr>
          <w:rFonts w:ascii="Times New Roman" w:eastAsia="Times New Roman" w:hAnsi="Times New Roman"/>
          <w:sz w:val="24"/>
          <w:szCs w:val="24"/>
          <w:lang w:val="lv-LV"/>
        </w:rPr>
        <w:t xml:space="preserve"> daļa, 15. pants, 1. pielikuma “Objekti, kuru ietekmes novērtējums ir nepieciešams” </w:t>
      </w:r>
      <w:r w:rsidRPr="00D05FE5" w:rsidR="0069496A">
        <w:rPr>
          <w:rFonts w:ascii="Times New Roman" w:eastAsia="Times New Roman" w:hAnsi="Times New Roman"/>
          <w:sz w:val="24"/>
          <w:szCs w:val="24"/>
          <w:lang w:val="lv-LV"/>
        </w:rPr>
        <w:t>11</w:t>
      </w:r>
      <w:r w:rsidRPr="00D06880">
        <w:rPr>
          <w:rFonts w:ascii="Times New Roman" w:eastAsia="Times New Roman" w:hAnsi="Times New Roman"/>
          <w:sz w:val="24"/>
          <w:szCs w:val="24"/>
          <w:lang w:val="lv-LV"/>
        </w:rPr>
        <w:t>. punkt</w:t>
      </w:r>
      <w:r w:rsidRPr="00D05FE5" w:rsidR="0069496A">
        <w:rPr>
          <w:rFonts w:ascii="Times New Roman" w:eastAsia="Times New Roman" w:hAnsi="Times New Roman"/>
          <w:sz w:val="24"/>
          <w:szCs w:val="24"/>
          <w:lang w:val="lv-LV"/>
        </w:rPr>
        <w:t>s</w:t>
      </w:r>
      <w:r w:rsidRPr="00D06880">
        <w:rPr>
          <w:rFonts w:ascii="Times New Roman" w:eastAsia="Times New Roman" w:hAnsi="Times New Roman"/>
          <w:sz w:val="24"/>
          <w:szCs w:val="24"/>
          <w:lang w:val="lv-LV"/>
        </w:rPr>
        <w:t>.</w:t>
      </w:r>
    </w:p>
    <w:p w:rsidR="00D06880" w:rsidRPr="00D06880" w:rsidP="00D06880" w14:paraId="48079325" w14:textId="77777777">
      <w:pPr>
        <w:widowControl/>
        <w:spacing w:before="240" w:after="240" w:line="240" w:lineRule="auto"/>
        <w:jc w:val="both"/>
        <w:rPr>
          <w:rFonts w:ascii="Times New Roman" w:hAnsi="Times New Roman"/>
          <w:b/>
          <w:bCs/>
          <w:sz w:val="24"/>
          <w:szCs w:val="24"/>
          <w:lang w:val="lv-LV"/>
        </w:rPr>
      </w:pPr>
      <w:r w:rsidRPr="00D06880">
        <w:rPr>
          <w:rFonts w:ascii="Times New Roman" w:hAnsi="Times New Roman"/>
          <w:b/>
          <w:sz w:val="24"/>
          <w:szCs w:val="24"/>
          <w:lang w:val="lv-LV"/>
        </w:rPr>
        <w:t>Lēmuma pārsūdzēšana:</w:t>
      </w:r>
    </w:p>
    <w:p w:rsidR="00D06880" w:rsidRPr="00D06880" w:rsidP="00D06880" w14:paraId="65A4D1F9" w14:textId="4ED62906">
      <w:pPr>
        <w:spacing w:after="0" w:line="240" w:lineRule="auto"/>
        <w:jc w:val="both"/>
        <w:rPr>
          <w:rFonts w:ascii="Times New Roman" w:hAnsi="Times New Roman"/>
          <w:kern w:val="3"/>
          <w:sz w:val="24"/>
          <w:szCs w:val="24"/>
          <w:lang w:val="lv-LV"/>
        </w:rPr>
      </w:pPr>
      <w:r w:rsidRPr="00D06880">
        <w:rPr>
          <w:rFonts w:ascii="Times New Roman" w:hAnsi="Times New Roman"/>
          <w:sz w:val="24"/>
          <w:szCs w:val="24"/>
          <w:lang w:val="lv-LV"/>
        </w:rPr>
        <w:t>Atbilstoši Novērtējuma likuma 14.</w:t>
      </w:r>
      <w:r w:rsidRPr="00D06880">
        <w:rPr>
          <w:rFonts w:ascii="Times New Roman" w:hAnsi="Times New Roman"/>
          <w:sz w:val="24"/>
          <w:szCs w:val="24"/>
          <w:vertAlign w:val="superscript"/>
          <w:lang w:val="lv-LV"/>
        </w:rPr>
        <w:t>1</w:t>
      </w:r>
      <w:r w:rsidRPr="00D06880">
        <w:rPr>
          <w:rFonts w:ascii="Times New Roman" w:hAnsi="Times New Roman"/>
          <w:sz w:val="24"/>
          <w:szCs w:val="24"/>
          <w:lang w:val="lv-LV"/>
        </w:rPr>
        <w:t xml:space="preserve"> panta otrajai daļai un Administratīvā procesa likuma (turpmāk – APL) </w:t>
      </w:r>
      <w:r w:rsidRPr="00D06880">
        <w:rPr>
          <w:rFonts w:ascii="Times New Roman" w:hAnsi="Times New Roman"/>
          <w:kern w:val="3"/>
          <w:sz w:val="24"/>
          <w:szCs w:val="24"/>
          <w:lang w:val="lv-LV"/>
        </w:rPr>
        <w:t>189. panta pirmajai daļai</w:t>
      </w:r>
      <w:r w:rsidRPr="00D06880">
        <w:rPr>
          <w:rFonts w:ascii="Times New Roman" w:hAnsi="Times New Roman"/>
          <w:sz w:val="24"/>
          <w:szCs w:val="24"/>
          <w:lang w:val="lv-LV"/>
        </w:rPr>
        <w:t xml:space="preserve"> </w:t>
      </w:r>
      <w:r w:rsidRPr="00D06880">
        <w:rPr>
          <w:rFonts w:ascii="Times New Roman" w:hAnsi="Times New Roman"/>
          <w:kern w:val="3"/>
          <w:sz w:val="24"/>
          <w:szCs w:val="24"/>
          <w:lang w:val="lv-LV"/>
        </w:rPr>
        <w:t xml:space="preserve">šo </w:t>
      </w:r>
      <w:r w:rsidRPr="00D05FE5" w:rsidR="0069496A">
        <w:rPr>
          <w:rFonts w:ascii="Times New Roman" w:hAnsi="Times New Roman"/>
          <w:kern w:val="3"/>
          <w:sz w:val="24"/>
          <w:szCs w:val="24"/>
          <w:lang w:val="lv-LV"/>
        </w:rPr>
        <w:t>Dienesta</w:t>
      </w:r>
      <w:r w:rsidRPr="00D06880">
        <w:rPr>
          <w:rFonts w:ascii="Times New Roman" w:hAnsi="Times New Roman"/>
          <w:kern w:val="3"/>
          <w:sz w:val="24"/>
          <w:szCs w:val="24"/>
          <w:lang w:val="lv-LV"/>
        </w:rPr>
        <w:t xml:space="preserve"> lēmumu var pārsūdzēt viena mēneša laikā no tā spēkā stāšanās dienas, iesniedzot sūdzību Administratīvās rajona tiesas atbilstīgajā tiesu namā (APL 189. panta pirmā daļa) pēc pieteicēja adreses (juridiskā persona – pēc juridiskās adreses). Lēmums stājas spēkā ar brīdi, kad tas paziņots adresātam (APL 70. panta pirmā daļa).</w:t>
      </w:r>
    </w:p>
    <w:p w:rsidR="00D06880" w:rsidRPr="00D06880" w:rsidP="00D06880" w14:paraId="7F182DFF" w14:textId="77777777">
      <w:pPr>
        <w:spacing w:after="0" w:line="240" w:lineRule="auto"/>
        <w:jc w:val="both"/>
        <w:rPr>
          <w:rFonts w:ascii="Times New Roman" w:hAnsi="Times New Roman"/>
          <w:sz w:val="24"/>
          <w:szCs w:val="24"/>
          <w:lang w:val="lv-LV"/>
        </w:rPr>
      </w:pPr>
    </w:p>
    <w:p w:rsidR="00D91890" w:rsidRPr="00D05FE5" w:rsidP="001207CE" w14:paraId="22B96C85" w14:textId="77777777">
      <w:pPr>
        <w:spacing w:after="0" w:line="240" w:lineRule="auto"/>
        <w:ind w:firstLine="720"/>
        <w:jc w:val="both"/>
        <w:rPr>
          <w:rFonts w:ascii="Times New Roman" w:hAnsi="Times New Roman"/>
          <w:sz w:val="24"/>
          <w:szCs w:val="24"/>
          <w:lang w:val="lv-LV"/>
        </w:rPr>
      </w:pPr>
    </w:p>
    <w:p w:rsidR="00D91890" w:rsidRPr="00D05FE5" w:rsidP="001207CE" w14:paraId="3E84E5E3" w14:textId="27B1982C">
      <w:pPr>
        <w:tabs>
          <w:tab w:val="right" w:pos="9072"/>
        </w:tabs>
        <w:spacing w:after="0" w:line="240" w:lineRule="auto"/>
        <w:jc w:val="both"/>
        <w:rPr>
          <w:rFonts w:ascii="Times New Roman" w:hAnsi="Times New Roman"/>
          <w:sz w:val="24"/>
          <w:szCs w:val="24"/>
          <w:lang w:val="lv-LV"/>
        </w:rPr>
      </w:pPr>
      <w:r w:rsidRPr="00D05FE5">
        <w:rPr>
          <w:rFonts w:ascii="Times New Roman" w:hAnsi="Times New Roman"/>
          <w:sz w:val="24"/>
          <w:szCs w:val="24"/>
          <w:lang w:val="lv-LV"/>
        </w:rPr>
        <w:t>Atļauju pārvaldes</w:t>
      </w:r>
      <w:r w:rsidRPr="00D05FE5" w:rsidR="003A497A">
        <w:rPr>
          <w:rFonts w:ascii="Times New Roman" w:hAnsi="Times New Roman"/>
          <w:sz w:val="24"/>
          <w:szCs w:val="24"/>
          <w:lang w:val="lv-LV"/>
        </w:rPr>
        <w:t xml:space="preserve"> </w:t>
      </w:r>
      <w:r w:rsidRPr="00D05FE5" w:rsidR="00A66CFD">
        <w:rPr>
          <w:rFonts w:ascii="Times New Roman" w:hAnsi="Times New Roman"/>
          <w:sz w:val="24"/>
          <w:szCs w:val="24"/>
          <w:lang w:val="lv-LV"/>
        </w:rPr>
        <w:t>d</w:t>
      </w:r>
      <w:r w:rsidRPr="00D05FE5" w:rsidR="00857687">
        <w:rPr>
          <w:rFonts w:ascii="Times New Roman" w:hAnsi="Times New Roman"/>
          <w:sz w:val="24"/>
          <w:szCs w:val="24"/>
          <w:lang w:val="lv-LV"/>
        </w:rPr>
        <w:t>irektore</w:t>
      </w:r>
      <w:r w:rsidRPr="00D05FE5">
        <w:rPr>
          <w:rFonts w:ascii="Times New Roman" w:hAnsi="Times New Roman"/>
          <w:sz w:val="24"/>
          <w:szCs w:val="24"/>
          <w:lang w:val="lv-LV"/>
        </w:rPr>
        <w:tab/>
      </w:r>
      <w:r w:rsidRPr="00D05FE5" w:rsidR="003A497A">
        <w:rPr>
          <w:rFonts w:ascii="Times New Roman" w:hAnsi="Times New Roman"/>
          <w:sz w:val="24"/>
          <w:szCs w:val="24"/>
          <w:lang w:val="lv-LV"/>
        </w:rPr>
        <w:t>D.Kalēja</w:t>
      </w:r>
    </w:p>
    <w:p w:rsidR="00D91890" w:rsidRPr="00D05FE5" w:rsidP="00D91890" w14:paraId="0B73F874" w14:textId="77777777">
      <w:pPr>
        <w:spacing w:after="0" w:line="240" w:lineRule="auto"/>
        <w:rPr>
          <w:rFonts w:ascii="Times New Roman" w:hAnsi="Times New Roman"/>
          <w:sz w:val="20"/>
          <w:szCs w:val="20"/>
          <w:lang w:val="lv-LV"/>
        </w:rPr>
      </w:pPr>
    </w:p>
    <w:p w:rsidR="00D91890" w:rsidRPr="00D05FE5" w:rsidP="00D91890" w14:paraId="7B0F3C73" w14:textId="77777777">
      <w:pPr>
        <w:spacing w:after="0" w:line="240" w:lineRule="auto"/>
        <w:rPr>
          <w:rFonts w:ascii="Times New Roman" w:hAnsi="Times New Roman"/>
          <w:sz w:val="20"/>
          <w:szCs w:val="20"/>
          <w:lang w:val="lv-LV"/>
        </w:rPr>
      </w:pPr>
    </w:p>
    <w:p w:rsidR="00D731FE" w:rsidRPr="00D05FE5" w:rsidP="00D731FE" w14:paraId="128EFE78" w14:textId="77777777">
      <w:pPr>
        <w:widowControl/>
        <w:spacing w:after="100" w:afterAutospacing="1" w:line="240" w:lineRule="auto"/>
        <w:jc w:val="center"/>
        <w:rPr>
          <w:rFonts w:ascii="Times New Roman" w:eastAsia="Times New Roman" w:hAnsi="Times New Roman"/>
          <w:sz w:val="24"/>
          <w:szCs w:val="24"/>
          <w:lang w:val="lv-LV"/>
        </w:rPr>
      </w:pPr>
      <w:r w:rsidRPr="00D05FE5">
        <w:rPr>
          <w:rFonts w:ascii="Times New Roman" w:eastAsia="Times New Roman" w:hAnsi="Times New Roman"/>
          <w:sz w:val="24"/>
          <w:szCs w:val="24"/>
          <w:lang w:val="lv-LV" w:eastAsia="lv-LV"/>
        </w:rPr>
        <w:t>ŠIS DOKUMENTS IR ELEKTRONISKI PARAKSTĪTS AR DROŠU ELEKTRONISKO PARAKSTU UN SATUR LAIKA ZĪMOGU</w:t>
      </w:r>
    </w:p>
    <w:p w:rsidR="0043045D" w:rsidRPr="00D05FE5" w:rsidP="0043045D" w14:paraId="12C4EA48" w14:textId="77777777">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sz w:val="20"/>
          <w:lang w:val="lv-LV"/>
        </w:rPr>
      </w:pPr>
      <w:r w:rsidRPr="00D05FE5">
        <w:rPr>
          <w:rFonts w:ascii="Times New Roman" w:hAnsi="Times New Roman"/>
          <w:sz w:val="20"/>
          <w:lang w:val="lv-LV"/>
        </w:rPr>
        <w:t>Vineta Maskava 67084232</w:t>
      </w:r>
    </w:p>
    <w:p w:rsidR="0043045D" w:rsidRPr="0069496A" w:rsidP="0043045D" w14:paraId="275C97D6" w14:textId="77777777">
      <w:pPr>
        <w:pStyle w:val="BodyText"/>
        <w:pBdr>
          <w:top w:val="single" w:sz="4" w:space="2" w:color="FFFFFF"/>
          <w:left w:val="single" w:sz="4" w:space="5" w:color="FFFFFF"/>
          <w:bottom w:val="single" w:sz="4" w:space="1" w:color="FFFFFF"/>
          <w:right w:val="single" w:sz="4" w:space="4" w:color="FFFFFF"/>
        </w:pBdr>
        <w:tabs>
          <w:tab w:val="left" w:pos="720"/>
          <w:tab w:val="left" w:pos="7655"/>
        </w:tabs>
        <w:spacing w:after="0"/>
        <w:jc w:val="both"/>
        <w:rPr>
          <w:rFonts w:ascii="Times New Roman" w:hAnsi="Times New Roman"/>
          <w:sz w:val="20"/>
          <w:lang w:val="lv-LV"/>
        </w:rPr>
      </w:pPr>
      <w:r w:rsidRPr="00D05FE5">
        <w:rPr>
          <w:rFonts w:ascii="Times New Roman" w:hAnsi="Times New Roman"/>
          <w:sz w:val="20"/>
          <w:lang w:val="lv-LV"/>
        </w:rPr>
        <w:t>vineta.maskava@vvd.gov.lv</w:t>
      </w:r>
    </w:p>
    <w:p w:rsidR="00A936C4" w:rsidRPr="0069496A" w:rsidP="0043045D" w14:paraId="2639B1C1" w14:textId="77777777">
      <w:pPr>
        <w:jc w:val="both"/>
        <w:rPr>
          <w:rFonts w:ascii="Times New Roman" w:hAnsi="Times New Roman"/>
          <w:bCs/>
          <w:i/>
          <w:iCs/>
          <w:sz w:val="20"/>
          <w:lang w:val="lv-LV"/>
        </w:rPr>
      </w:pPr>
    </w:p>
    <w:sectPr w:rsidSect="00357C0A">
      <w:footerReference w:type="default" r:id="rId8"/>
      <w:headerReference w:type="first" r:id="rId9"/>
      <w:type w:val="continuous"/>
      <w:pgSz w:w="11920" w:h="16840"/>
      <w:pgMar w:top="1134" w:right="851" w:bottom="1418" w:left="1701" w:header="709" w:footer="709"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704" w:rsidRPr="00D768B5" w14:paraId="5AB3B757" w14:textId="77777777">
    <w:pPr>
      <w:pStyle w:val="Footer"/>
      <w:jc w:val="center"/>
      <w:rPr>
        <w:rFonts w:ascii="Times New Roman" w:hAnsi="Times New Roman"/>
      </w:rPr>
    </w:pPr>
    <w:r w:rsidRPr="00D768B5">
      <w:rPr>
        <w:rFonts w:ascii="Times New Roman" w:hAnsi="Times New Roman"/>
      </w:rPr>
      <w:fldChar w:fldCharType="begin"/>
    </w:r>
    <w:r w:rsidRPr="00D768B5">
      <w:rPr>
        <w:rFonts w:ascii="Times New Roman" w:hAnsi="Times New Roman"/>
      </w:rPr>
      <w:instrText xml:space="preserve"> PAGE   \* MERGEFORMAT </w:instrText>
    </w:r>
    <w:r w:rsidRPr="00D768B5">
      <w:rPr>
        <w:rFonts w:ascii="Times New Roman" w:hAnsi="Times New Roman"/>
      </w:rPr>
      <w:fldChar w:fldCharType="separate"/>
    </w:r>
    <w:r w:rsidR="002644F0">
      <w:rPr>
        <w:rFonts w:ascii="Times New Roman" w:hAnsi="Times New Roman"/>
        <w:noProof/>
      </w:rPr>
      <w:t>3</w:t>
    </w:r>
    <w:r w:rsidRPr="00D768B5">
      <w:rPr>
        <w:rFonts w:ascii="Times New Roman" w:hAnsi="Times New Roman"/>
      </w:rPr>
      <w:fldChar w:fldCharType="end"/>
    </w:r>
  </w:p>
  <w:p w:rsidR="00364704" w14:paraId="3B8D65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4307" w14:paraId="240B738E" w14:textId="77777777">
      <w:pPr>
        <w:spacing w:after="0" w:line="240" w:lineRule="auto"/>
      </w:pPr>
      <w:r>
        <w:separator/>
      </w:r>
    </w:p>
  </w:footnote>
  <w:footnote w:type="continuationSeparator" w:id="1">
    <w:p w:rsidR="00AB4307" w14:paraId="147B98B7" w14:textId="77777777">
      <w:pPr>
        <w:spacing w:after="0" w:line="240" w:lineRule="auto"/>
      </w:pPr>
      <w:r>
        <w:continuationSeparator/>
      </w:r>
    </w:p>
  </w:footnote>
  <w:footnote w:id="2">
    <w:p w:rsidR="00163518" w:rsidRPr="0069496A" w14:paraId="6D41D12D" w14:textId="4BBC60E2">
      <w:pPr>
        <w:pStyle w:val="FootnoteText"/>
        <w:rPr>
          <w:rFonts w:ascii="Times New Roman" w:hAnsi="Times New Roman"/>
          <w:lang w:val="lv-LV"/>
        </w:rPr>
      </w:pPr>
      <w:r w:rsidRPr="0069496A">
        <w:rPr>
          <w:rStyle w:val="FootnoteReference"/>
          <w:rFonts w:ascii="Times New Roman" w:hAnsi="Times New Roman"/>
        </w:rPr>
        <w:footnoteRef/>
      </w:r>
      <w:r w:rsidRPr="0069496A">
        <w:rPr>
          <w:rFonts w:ascii="Times New Roman" w:hAnsi="Times New Roman"/>
        </w:rPr>
        <w:t xml:space="preserve"> </w:t>
      </w:r>
      <w:r w:rsidRPr="0069496A">
        <w:rPr>
          <w:rFonts w:ascii="Times New Roman" w:hAnsi="Times New Roman"/>
          <w:lang w:val="lv-LV"/>
        </w:rPr>
        <w:t>Dienestā reģistrēta 02.10.2025. ar reģistrācijas Nr. 9486/AP/2025.</w:t>
      </w:r>
    </w:p>
  </w:footnote>
  <w:footnote w:id="3">
    <w:p w:rsidR="00D06880" w:rsidRPr="001D637E" w:rsidP="00D06880" w14:paraId="0DC2D739" w14:textId="7CA9CA5C">
      <w:pPr>
        <w:pStyle w:val="FootnoteText"/>
        <w:jc w:val="both"/>
        <w:rPr>
          <w:rFonts w:ascii="Times New Roman" w:hAnsi="Times New Roman"/>
          <w:lang w:val="lv-LV"/>
        </w:rPr>
      </w:pPr>
      <w:r w:rsidRPr="0069496A">
        <w:rPr>
          <w:rStyle w:val="FootnoteReference"/>
          <w:rFonts w:ascii="Times New Roman" w:hAnsi="Times New Roman"/>
        </w:rPr>
        <w:footnoteRef/>
      </w:r>
      <w:r w:rsidRPr="001D637E">
        <w:rPr>
          <w:rFonts w:ascii="Times New Roman" w:hAnsi="Times New Roman"/>
          <w:lang w:val="lv-LV"/>
        </w:rPr>
        <w:t xml:space="preserve"> Pieejams – https://ozols.gov.lv/ (skatīts </w:t>
      </w:r>
      <w:r w:rsidRPr="001D637E" w:rsidR="0069496A">
        <w:rPr>
          <w:rFonts w:ascii="Times New Roman" w:hAnsi="Times New Roman"/>
          <w:lang w:val="lv-LV"/>
        </w:rPr>
        <w:t>09.01</w:t>
      </w:r>
      <w:r w:rsidRPr="001D637E">
        <w:rPr>
          <w:rFonts w:ascii="Times New Roman" w:hAnsi="Times New Roman"/>
          <w:lang w:val="lv-LV"/>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704" w:rsidP="00073539" w14:paraId="7E16AEA6" w14:textId="77777777">
    <w:pPr>
      <w:pStyle w:val="Header"/>
      <w:rPr>
        <w:rFonts w:ascii="Times New Roman" w:hAnsi="Times New Roman"/>
      </w:rPr>
    </w:pPr>
  </w:p>
  <w:p w:rsidR="00364704" w:rsidP="00073539" w14:paraId="473705DF" w14:textId="2014174B">
    <w:pPr>
      <w:pStyle w:val="Header"/>
      <w:rPr>
        <w:rFonts w:ascii="Times New Roman" w:hAnsi="Times New Roman"/>
      </w:rPr>
    </w:pPr>
    <w:r>
      <w:rPr>
        <w:noProof/>
      </w:rPr>
      <w:drawing>
        <wp:anchor distT="0" distB="0" distL="114300" distR="114300" simplePos="0" relativeHeight="251662336" behindDoc="0" locked="0" layoutInCell="1" allowOverlap="1">
          <wp:simplePos x="0" y="0"/>
          <wp:positionH relativeFrom="column">
            <wp:align>center</wp:align>
          </wp:positionH>
          <wp:positionV relativeFrom="paragraph">
            <wp:posOffset>109220</wp:posOffset>
          </wp:positionV>
          <wp:extent cx="5911215" cy="1062355"/>
          <wp:effectExtent l="0" t="0" r="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11215" cy="1062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4704" w:rsidP="00073539" w14:paraId="24E927B0" w14:textId="77777777">
    <w:pPr>
      <w:pStyle w:val="Header"/>
      <w:rPr>
        <w:rFonts w:ascii="Times New Roman" w:hAnsi="Times New Roman"/>
      </w:rPr>
    </w:pPr>
  </w:p>
  <w:p w:rsidR="00364704" w:rsidP="00073539" w14:paraId="1FA43F17" w14:textId="77777777">
    <w:pPr>
      <w:pStyle w:val="Header"/>
      <w:rPr>
        <w:rFonts w:ascii="Times New Roman" w:hAnsi="Times New Roman"/>
      </w:rPr>
    </w:pPr>
  </w:p>
  <w:p w:rsidR="00364704" w:rsidP="00073539" w14:paraId="7B151903" w14:textId="77777777">
    <w:pPr>
      <w:pStyle w:val="Header"/>
      <w:rPr>
        <w:rFonts w:ascii="Times New Roman" w:hAnsi="Times New Roman"/>
      </w:rPr>
    </w:pPr>
  </w:p>
  <w:p w:rsidR="00364704" w:rsidP="00073539" w14:paraId="736D891D" w14:textId="77777777">
    <w:pPr>
      <w:pStyle w:val="Header"/>
      <w:rPr>
        <w:rFonts w:ascii="Times New Roman" w:hAnsi="Times New Roman"/>
      </w:rPr>
    </w:pPr>
  </w:p>
  <w:p w:rsidR="00364704" w:rsidP="00073539" w14:paraId="4C3215A5" w14:textId="77777777">
    <w:pPr>
      <w:pStyle w:val="Header"/>
      <w:rPr>
        <w:rFonts w:ascii="Times New Roman" w:hAnsi="Times New Roman"/>
      </w:rPr>
    </w:pPr>
  </w:p>
  <w:p w:rsidR="00364704" w:rsidP="00073539" w14:paraId="38753B60" w14:textId="77777777">
    <w:pPr>
      <w:pStyle w:val="Header"/>
      <w:rPr>
        <w:rFonts w:ascii="Times New Roman" w:hAnsi="Times New Roman"/>
      </w:rPr>
    </w:pPr>
  </w:p>
  <w:p w:rsidR="00364704" w:rsidP="00073539" w14:paraId="0473A2F4" w14:textId="651E76BB">
    <w:pPr>
      <w:pStyle w:val="Header"/>
      <w:rPr>
        <w:rFonts w:ascii="Times New Roman" w:hAnsi="Times New Roman"/>
      </w:rPr>
    </w:pPr>
  </w:p>
  <w:p w:rsidR="00364704" w:rsidP="00073539" w14:paraId="633F0C48" w14:textId="5CBDC617">
    <w:pPr>
      <w:pStyle w:val="Header"/>
      <w:rPr>
        <w:rFonts w:ascii="Times New Roman" w:hAnsi="Times New Roman"/>
      </w:rPr>
    </w:pPr>
    <w:r>
      <w:rPr>
        <w:noProof/>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ge">
                <wp:posOffset>1940668</wp:posOffset>
              </wp:positionV>
              <wp:extent cx="5838825" cy="258793"/>
              <wp:effectExtent l="0" t="0" r="9525" b="825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2587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64704" w:rsidP="006761D3" w14:textId="77777777">
                          <w:pPr>
                            <w:spacing w:line="204" w:lineRule="exact"/>
                            <w:ind w:left="931" w:right="911"/>
                            <w:jc w:val="center"/>
                            <w:rPr>
                              <w:rFonts w:ascii="Times New Roman" w:eastAsia="Times New Roman" w:hAnsi="Times New Roman"/>
                              <w:sz w:val="17"/>
                              <w:szCs w:val="17"/>
                            </w:rPr>
                          </w:pPr>
                          <w:r w:rsidRPr="001E2D2D">
                            <w:rPr>
                              <w:rFonts w:ascii="Times New Roman" w:eastAsia="Times New Roman" w:hAnsi="Times New Roman"/>
                              <w:color w:val="231F20"/>
                              <w:sz w:val="17"/>
                              <w:szCs w:val="17"/>
                            </w:rPr>
                            <w:t xml:space="preserve">Rūpniecības iela 23, Rīga, LV-1045, tālr. 67084200, e-pasts </w:t>
                          </w:r>
                          <w:r w:rsidR="00C31405">
                            <w:rPr>
                              <w:rFonts w:ascii="Times New Roman" w:eastAsia="Times New Roman" w:hAnsi="Times New Roman"/>
                              <w:color w:val="231F20"/>
                              <w:sz w:val="17"/>
                              <w:szCs w:val="17"/>
                            </w:rPr>
                            <w:t>pasts</w:t>
                          </w:r>
                          <w:r w:rsidRPr="001E2D2D">
                            <w:rPr>
                              <w:rFonts w:ascii="Times New Roman" w:eastAsia="Times New Roman" w:hAnsi="Times New Roman"/>
                              <w:color w:val="231F20"/>
                              <w:sz w:val="17"/>
                              <w:szCs w:val="17"/>
                            </w:rPr>
                            <w:t>@vvd.gov.lv, www.vvd.gov.lv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0.4pt;margin-top:152.8pt;margin-left:0;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364704" w:rsidP="006761D3" w14:paraId="64AFB1C9" w14:textId="77777777">
                    <w:pPr>
                      <w:spacing w:line="204" w:lineRule="exact"/>
                      <w:ind w:left="931" w:right="911"/>
                      <w:jc w:val="center"/>
                      <w:rPr>
                        <w:rFonts w:ascii="Times New Roman" w:eastAsia="Times New Roman" w:hAnsi="Times New Roman"/>
                        <w:sz w:val="17"/>
                        <w:szCs w:val="17"/>
                      </w:rPr>
                    </w:pPr>
                    <w:r w:rsidRPr="001E2D2D">
                      <w:rPr>
                        <w:rFonts w:ascii="Times New Roman" w:eastAsia="Times New Roman" w:hAnsi="Times New Roman"/>
                        <w:color w:val="231F20"/>
                        <w:sz w:val="17"/>
                        <w:szCs w:val="17"/>
                      </w:rPr>
                      <w:t>Rūpniecības</w:t>
                    </w:r>
                    <w:r w:rsidRPr="001E2D2D">
                      <w:rPr>
                        <w:rFonts w:ascii="Times New Roman" w:eastAsia="Times New Roman" w:hAnsi="Times New Roman"/>
                        <w:color w:val="231F20"/>
                        <w:sz w:val="17"/>
                        <w:szCs w:val="17"/>
                      </w:rPr>
                      <w:t xml:space="preserve"> </w:t>
                    </w:r>
                    <w:r w:rsidRPr="001E2D2D">
                      <w:rPr>
                        <w:rFonts w:ascii="Times New Roman" w:eastAsia="Times New Roman" w:hAnsi="Times New Roman"/>
                        <w:color w:val="231F20"/>
                        <w:sz w:val="17"/>
                        <w:szCs w:val="17"/>
                      </w:rPr>
                      <w:t>iela</w:t>
                    </w:r>
                    <w:r w:rsidRPr="001E2D2D">
                      <w:rPr>
                        <w:rFonts w:ascii="Times New Roman" w:eastAsia="Times New Roman" w:hAnsi="Times New Roman"/>
                        <w:color w:val="231F20"/>
                        <w:sz w:val="17"/>
                        <w:szCs w:val="17"/>
                      </w:rPr>
                      <w:t xml:space="preserve"> 23, </w:t>
                    </w:r>
                    <w:r w:rsidRPr="001E2D2D">
                      <w:rPr>
                        <w:rFonts w:ascii="Times New Roman" w:eastAsia="Times New Roman" w:hAnsi="Times New Roman"/>
                        <w:color w:val="231F20"/>
                        <w:sz w:val="17"/>
                        <w:szCs w:val="17"/>
                      </w:rPr>
                      <w:t>Rīga</w:t>
                    </w:r>
                    <w:r w:rsidRPr="001E2D2D">
                      <w:rPr>
                        <w:rFonts w:ascii="Times New Roman" w:eastAsia="Times New Roman" w:hAnsi="Times New Roman"/>
                        <w:color w:val="231F20"/>
                        <w:sz w:val="17"/>
                        <w:szCs w:val="17"/>
                      </w:rPr>
                      <w:t xml:space="preserve">, LV-1045, </w:t>
                    </w:r>
                    <w:r w:rsidRPr="001E2D2D">
                      <w:rPr>
                        <w:rFonts w:ascii="Times New Roman" w:eastAsia="Times New Roman" w:hAnsi="Times New Roman"/>
                        <w:color w:val="231F20"/>
                        <w:sz w:val="17"/>
                        <w:szCs w:val="17"/>
                      </w:rPr>
                      <w:t>tālr</w:t>
                    </w:r>
                    <w:r w:rsidRPr="001E2D2D">
                      <w:rPr>
                        <w:rFonts w:ascii="Times New Roman" w:eastAsia="Times New Roman" w:hAnsi="Times New Roman"/>
                        <w:color w:val="231F20"/>
                        <w:sz w:val="17"/>
                        <w:szCs w:val="17"/>
                      </w:rPr>
                      <w:t xml:space="preserve">. 67084200, e-pasts </w:t>
                    </w:r>
                    <w:r w:rsidR="00C31405">
                      <w:rPr>
                        <w:rFonts w:ascii="Times New Roman" w:eastAsia="Times New Roman" w:hAnsi="Times New Roman"/>
                        <w:color w:val="231F20"/>
                        <w:sz w:val="17"/>
                        <w:szCs w:val="17"/>
                      </w:rPr>
                      <w:t>pasts</w:t>
                    </w:r>
                    <w:r w:rsidRPr="001E2D2D">
                      <w:rPr>
                        <w:rFonts w:ascii="Times New Roman" w:eastAsia="Times New Roman" w:hAnsi="Times New Roman"/>
                        <w:color w:val="231F20"/>
                        <w:sz w:val="17"/>
                        <w:szCs w:val="17"/>
                      </w:rPr>
                      <w:t>@vvd.gov.lv, www.vvd.gov.lv</w:t>
                    </w:r>
                  </w:p>
                </w:txbxContent>
              </v:textbox>
              <w10:wrap anchorx="margin"/>
            </v:shape>
          </w:pict>
        </mc:Fallback>
      </mc:AlternateContent>
    </w:r>
  </w:p>
  <w:p w:rsidR="00364704" w:rsidRPr="00815277" w:rsidP="00073539" w14:paraId="04C7155B" w14:textId="7724E5C7">
    <w:pPr>
      <w:pStyle w:val="Header"/>
      <w:rPr>
        <w:rFonts w:ascii="Times New Roman" w:hAnsi="Times New Roman"/>
      </w:rPr>
    </w:pPr>
    <w:r>
      <w:rPr>
        <w:noProof/>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7216"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364704" w14:paraId="648AE6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585398"/>
    <w:multiLevelType w:val="multilevel"/>
    <w:tmpl w:val="C9903E5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rFonts w:ascii="Times New Roman" w:hAnsi="Times New Roman" w:cs="Times New Roman" w:hint="default"/>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1E44BD"/>
    <w:multiLevelType w:val="hybridMultilevel"/>
    <w:tmpl w:val="8454E92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53DC5AC4"/>
    <w:multiLevelType w:val="hybridMultilevel"/>
    <w:tmpl w:val="E18EB228"/>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1781264">
    <w:abstractNumId w:val="10"/>
  </w:num>
  <w:num w:numId="2" w16cid:durableId="454450772">
    <w:abstractNumId w:val="8"/>
  </w:num>
  <w:num w:numId="3" w16cid:durableId="2074815692">
    <w:abstractNumId w:val="7"/>
  </w:num>
  <w:num w:numId="4" w16cid:durableId="381564393">
    <w:abstractNumId w:val="6"/>
  </w:num>
  <w:num w:numId="5" w16cid:durableId="608970987">
    <w:abstractNumId w:val="5"/>
  </w:num>
  <w:num w:numId="6" w16cid:durableId="1494834556">
    <w:abstractNumId w:val="9"/>
  </w:num>
  <w:num w:numId="7" w16cid:durableId="1892689569">
    <w:abstractNumId w:val="4"/>
  </w:num>
  <w:num w:numId="8" w16cid:durableId="1466584532">
    <w:abstractNumId w:val="3"/>
  </w:num>
  <w:num w:numId="9" w16cid:durableId="693582594">
    <w:abstractNumId w:val="2"/>
  </w:num>
  <w:num w:numId="10" w16cid:durableId="1576472177">
    <w:abstractNumId w:val="1"/>
  </w:num>
  <w:num w:numId="11" w16cid:durableId="1671254470">
    <w:abstractNumId w:val="0"/>
  </w:num>
  <w:num w:numId="12" w16cid:durableId="312368336">
    <w:abstractNumId w:val="12"/>
  </w:num>
  <w:num w:numId="13" w16cid:durableId="1293095978">
    <w:abstractNumId w:val="13"/>
  </w:num>
  <w:num w:numId="14" w16cid:durableId="557477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4F6A"/>
    <w:rsid w:val="00005270"/>
    <w:rsid w:val="00006384"/>
    <w:rsid w:val="00011EDB"/>
    <w:rsid w:val="00015A91"/>
    <w:rsid w:val="0001661D"/>
    <w:rsid w:val="00021C0C"/>
    <w:rsid w:val="00024EDA"/>
    <w:rsid w:val="00030349"/>
    <w:rsid w:val="00030DA9"/>
    <w:rsid w:val="00034854"/>
    <w:rsid w:val="00035B6D"/>
    <w:rsid w:val="000462C9"/>
    <w:rsid w:val="00046FD1"/>
    <w:rsid w:val="00070AA3"/>
    <w:rsid w:val="000717A8"/>
    <w:rsid w:val="00073539"/>
    <w:rsid w:val="000818B6"/>
    <w:rsid w:val="00093279"/>
    <w:rsid w:val="000A6E4D"/>
    <w:rsid w:val="000A74DB"/>
    <w:rsid w:val="000C01CA"/>
    <w:rsid w:val="000C4DD8"/>
    <w:rsid w:val="000C71EB"/>
    <w:rsid w:val="000E4A6F"/>
    <w:rsid w:val="000E7372"/>
    <w:rsid w:val="000F185B"/>
    <w:rsid w:val="000F3DA2"/>
    <w:rsid w:val="000F7DC8"/>
    <w:rsid w:val="0010123D"/>
    <w:rsid w:val="0010285C"/>
    <w:rsid w:val="00117281"/>
    <w:rsid w:val="001207CE"/>
    <w:rsid w:val="00122EA8"/>
    <w:rsid w:val="00124173"/>
    <w:rsid w:val="00127AE3"/>
    <w:rsid w:val="0014759B"/>
    <w:rsid w:val="001501FB"/>
    <w:rsid w:val="00153CDC"/>
    <w:rsid w:val="001546F0"/>
    <w:rsid w:val="00156D96"/>
    <w:rsid w:val="00163518"/>
    <w:rsid w:val="00175493"/>
    <w:rsid w:val="00181F1F"/>
    <w:rsid w:val="00196230"/>
    <w:rsid w:val="001A08E4"/>
    <w:rsid w:val="001B0015"/>
    <w:rsid w:val="001B01EF"/>
    <w:rsid w:val="001B4F8C"/>
    <w:rsid w:val="001D460C"/>
    <w:rsid w:val="001D637E"/>
    <w:rsid w:val="001D72F2"/>
    <w:rsid w:val="001E288A"/>
    <w:rsid w:val="001E2D2D"/>
    <w:rsid w:val="001E594D"/>
    <w:rsid w:val="001F0F25"/>
    <w:rsid w:val="001F6E64"/>
    <w:rsid w:val="001F793D"/>
    <w:rsid w:val="00201641"/>
    <w:rsid w:val="00205746"/>
    <w:rsid w:val="00205BB6"/>
    <w:rsid w:val="00215B7B"/>
    <w:rsid w:val="00220D25"/>
    <w:rsid w:val="00221988"/>
    <w:rsid w:val="00233FED"/>
    <w:rsid w:val="0026279F"/>
    <w:rsid w:val="00263D77"/>
    <w:rsid w:val="002644F0"/>
    <w:rsid w:val="002666C3"/>
    <w:rsid w:val="00275B9E"/>
    <w:rsid w:val="00281C24"/>
    <w:rsid w:val="00285910"/>
    <w:rsid w:val="00294265"/>
    <w:rsid w:val="002A458B"/>
    <w:rsid w:val="002A5E0B"/>
    <w:rsid w:val="002B035F"/>
    <w:rsid w:val="002C21EF"/>
    <w:rsid w:val="002C3BC3"/>
    <w:rsid w:val="002C5BB4"/>
    <w:rsid w:val="002C77F4"/>
    <w:rsid w:val="002C7C03"/>
    <w:rsid w:val="002E1474"/>
    <w:rsid w:val="002E6D52"/>
    <w:rsid w:val="002F2C36"/>
    <w:rsid w:val="002F47AA"/>
    <w:rsid w:val="00304E63"/>
    <w:rsid w:val="00305813"/>
    <w:rsid w:val="00311BB9"/>
    <w:rsid w:val="00312902"/>
    <w:rsid w:val="00313AA5"/>
    <w:rsid w:val="00315183"/>
    <w:rsid w:val="00330004"/>
    <w:rsid w:val="0033026E"/>
    <w:rsid w:val="0033779B"/>
    <w:rsid w:val="0035353C"/>
    <w:rsid w:val="00356B5A"/>
    <w:rsid w:val="00357C0A"/>
    <w:rsid w:val="00364704"/>
    <w:rsid w:val="00370782"/>
    <w:rsid w:val="0038458C"/>
    <w:rsid w:val="003872BF"/>
    <w:rsid w:val="00391B8E"/>
    <w:rsid w:val="0039281B"/>
    <w:rsid w:val="003945B1"/>
    <w:rsid w:val="003A451E"/>
    <w:rsid w:val="003A497A"/>
    <w:rsid w:val="003A5FBF"/>
    <w:rsid w:val="003B66A3"/>
    <w:rsid w:val="003C3768"/>
    <w:rsid w:val="003D40A0"/>
    <w:rsid w:val="003D633D"/>
    <w:rsid w:val="003D7092"/>
    <w:rsid w:val="003E1A29"/>
    <w:rsid w:val="003E3F38"/>
    <w:rsid w:val="003E7CF2"/>
    <w:rsid w:val="004042E4"/>
    <w:rsid w:val="0040584E"/>
    <w:rsid w:val="00411DBA"/>
    <w:rsid w:val="00413BA7"/>
    <w:rsid w:val="0043045D"/>
    <w:rsid w:val="0043259B"/>
    <w:rsid w:val="00434C59"/>
    <w:rsid w:val="00453404"/>
    <w:rsid w:val="004567BA"/>
    <w:rsid w:val="00456803"/>
    <w:rsid w:val="00463D57"/>
    <w:rsid w:val="0047396C"/>
    <w:rsid w:val="00482F7F"/>
    <w:rsid w:val="00491660"/>
    <w:rsid w:val="004A00F2"/>
    <w:rsid w:val="004A210F"/>
    <w:rsid w:val="004A4B74"/>
    <w:rsid w:val="004C12B8"/>
    <w:rsid w:val="004C31E3"/>
    <w:rsid w:val="004C3851"/>
    <w:rsid w:val="004D4E98"/>
    <w:rsid w:val="004E2ED2"/>
    <w:rsid w:val="004E61B9"/>
    <w:rsid w:val="00524543"/>
    <w:rsid w:val="00535564"/>
    <w:rsid w:val="00542553"/>
    <w:rsid w:val="005616A4"/>
    <w:rsid w:val="00587820"/>
    <w:rsid w:val="005918E1"/>
    <w:rsid w:val="0059461D"/>
    <w:rsid w:val="005A12CE"/>
    <w:rsid w:val="005A1D39"/>
    <w:rsid w:val="005B3117"/>
    <w:rsid w:val="005B4D8A"/>
    <w:rsid w:val="005B5DEA"/>
    <w:rsid w:val="005B7838"/>
    <w:rsid w:val="005D03F9"/>
    <w:rsid w:val="005D49D3"/>
    <w:rsid w:val="005F69E7"/>
    <w:rsid w:val="00602239"/>
    <w:rsid w:val="00612898"/>
    <w:rsid w:val="00614A9E"/>
    <w:rsid w:val="006230B1"/>
    <w:rsid w:val="0063536B"/>
    <w:rsid w:val="00647C21"/>
    <w:rsid w:val="00653285"/>
    <w:rsid w:val="0066164A"/>
    <w:rsid w:val="006616E3"/>
    <w:rsid w:val="00662A25"/>
    <w:rsid w:val="00662BFA"/>
    <w:rsid w:val="006632AF"/>
    <w:rsid w:val="00663C3A"/>
    <w:rsid w:val="00665E5F"/>
    <w:rsid w:val="00671AAF"/>
    <w:rsid w:val="0067479F"/>
    <w:rsid w:val="006761D3"/>
    <w:rsid w:val="00676884"/>
    <w:rsid w:val="00676D83"/>
    <w:rsid w:val="0069188F"/>
    <w:rsid w:val="00694260"/>
    <w:rsid w:val="0069496A"/>
    <w:rsid w:val="006A73D0"/>
    <w:rsid w:val="006C4803"/>
    <w:rsid w:val="006D6A9D"/>
    <w:rsid w:val="007035E2"/>
    <w:rsid w:val="0070562F"/>
    <w:rsid w:val="00716573"/>
    <w:rsid w:val="007218BB"/>
    <w:rsid w:val="00722D4A"/>
    <w:rsid w:val="007257DB"/>
    <w:rsid w:val="00726DFC"/>
    <w:rsid w:val="00730255"/>
    <w:rsid w:val="00741001"/>
    <w:rsid w:val="0074322C"/>
    <w:rsid w:val="007614AF"/>
    <w:rsid w:val="00761AFA"/>
    <w:rsid w:val="00766574"/>
    <w:rsid w:val="007676FA"/>
    <w:rsid w:val="00772E22"/>
    <w:rsid w:val="00774CB0"/>
    <w:rsid w:val="00774E01"/>
    <w:rsid w:val="00780472"/>
    <w:rsid w:val="007A15C9"/>
    <w:rsid w:val="007B3BA5"/>
    <w:rsid w:val="007B5250"/>
    <w:rsid w:val="007D0B18"/>
    <w:rsid w:val="007D2354"/>
    <w:rsid w:val="007D3A5A"/>
    <w:rsid w:val="007E016F"/>
    <w:rsid w:val="007E2C36"/>
    <w:rsid w:val="007E4D1F"/>
    <w:rsid w:val="007F2934"/>
    <w:rsid w:val="007F2F5F"/>
    <w:rsid w:val="00801896"/>
    <w:rsid w:val="00802597"/>
    <w:rsid w:val="00811CB1"/>
    <w:rsid w:val="00815277"/>
    <w:rsid w:val="00833952"/>
    <w:rsid w:val="00842830"/>
    <w:rsid w:val="00857687"/>
    <w:rsid w:val="00862B44"/>
    <w:rsid w:val="008725C8"/>
    <w:rsid w:val="00876C21"/>
    <w:rsid w:val="0088395B"/>
    <w:rsid w:val="00886F6F"/>
    <w:rsid w:val="008930CE"/>
    <w:rsid w:val="008934FE"/>
    <w:rsid w:val="00896E11"/>
    <w:rsid w:val="008970DB"/>
    <w:rsid w:val="008A0CE7"/>
    <w:rsid w:val="008A4367"/>
    <w:rsid w:val="008A69BB"/>
    <w:rsid w:val="008A7F38"/>
    <w:rsid w:val="008B7C7B"/>
    <w:rsid w:val="008C1667"/>
    <w:rsid w:val="008D1380"/>
    <w:rsid w:val="008D15ED"/>
    <w:rsid w:val="008E31F8"/>
    <w:rsid w:val="008F0049"/>
    <w:rsid w:val="008F2869"/>
    <w:rsid w:val="00910BE2"/>
    <w:rsid w:val="009145FB"/>
    <w:rsid w:val="00921E57"/>
    <w:rsid w:val="00923647"/>
    <w:rsid w:val="0092703C"/>
    <w:rsid w:val="00927A52"/>
    <w:rsid w:val="00927AF1"/>
    <w:rsid w:val="0093572D"/>
    <w:rsid w:val="00935B20"/>
    <w:rsid w:val="00936231"/>
    <w:rsid w:val="009448D8"/>
    <w:rsid w:val="00945188"/>
    <w:rsid w:val="00951725"/>
    <w:rsid w:val="00960C5E"/>
    <w:rsid w:val="00960EE2"/>
    <w:rsid w:val="00976BE2"/>
    <w:rsid w:val="009805C0"/>
    <w:rsid w:val="00981CE5"/>
    <w:rsid w:val="009833ED"/>
    <w:rsid w:val="00984AC5"/>
    <w:rsid w:val="009909BC"/>
    <w:rsid w:val="0099491B"/>
    <w:rsid w:val="009B1C63"/>
    <w:rsid w:val="009C2FF6"/>
    <w:rsid w:val="009C5C78"/>
    <w:rsid w:val="009D4548"/>
    <w:rsid w:val="009E5784"/>
    <w:rsid w:val="009E6BF4"/>
    <w:rsid w:val="009F1662"/>
    <w:rsid w:val="00A00321"/>
    <w:rsid w:val="00A01DEF"/>
    <w:rsid w:val="00A0581E"/>
    <w:rsid w:val="00A060AE"/>
    <w:rsid w:val="00A1303E"/>
    <w:rsid w:val="00A145BF"/>
    <w:rsid w:val="00A15E41"/>
    <w:rsid w:val="00A266BD"/>
    <w:rsid w:val="00A27CC1"/>
    <w:rsid w:val="00A42F68"/>
    <w:rsid w:val="00A46E11"/>
    <w:rsid w:val="00A559CF"/>
    <w:rsid w:val="00A5713E"/>
    <w:rsid w:val="00A60827"/>
    <w:rsid w:val="00A646C6"/>
    <w:rsid w:val="00A64F01"/>
    <w:rsid w:val="00A6579F"/>
    <w:rsid w:val="00A66AB7"/>
    <w:rsid w:val="00A66CFD"/>
    <w:rsid w:val="00A81ADE"/>
    <w:rsid w:val="00A847A1"/>
    <w:rsid w:val="00A87890"/>
    <w:rsid w:val="00A936C4"/>
    <w:rsid w:val="00A95BEA"/>
    <w:rsid w:val="00AA2ECA"/>
    <w:rsid w:val="00AB4307"/>
    <w:rsid w:val="00AC6819"/>
    <w:rsid w:val="00AC7F61"/>
    <w:rsid w:val="00AE5BB3"/>
    <w:rsid w:val="00AE78D2"/>
    <w:rsid w:val="00B02921"/>
    <w:rsid w:val="00B12C26"/>
    <w:rsid w:val="00B138C0"/>
    <w:rsid w:val="00B31484"/>
    <w:rsid w:val="00B41BA8"/>
    <w:rsid w:val="00B45DF7"/>
    <w:rsid w:val="00B533CB"/>
    <w:rsid w:val="00B54DD6"/>
    <w:rsid w:val="00B556DC"/>
    <w:rsid w:val="00B61F0F"/>
    <w:rsid w:val="00B6372C"/>
    <w:rsid w:val="00B6629A"/>
    <w:rsid w:val="00B723B3"/>
    <w:rsid w:val="00B7505D"/>
    <w:rsid w:val="00B752D2"/>
    <w:rsid w:val="00B7532E"/>
    <w:rsid w:val="00B758DD"/>
    <w:rsid w:val="00B86B0D"/>
    <w:rsid w:val="00BC72CA"/>
    <w:rsid w:val="00BD2CE1"/>
    <w:rsid w:val="00BF0366"/>
    <w:rsid w:val="00BF2F03"/>
    <w:rsid w:val="00BF6F79"/>
    <w:rsid w:val="00C00B8B"/>
    <w:rsid w:val="00C1478A"/>
    <w:rsid w:val="00C27894"/>
    <w:rsid w:val="00C31405"/>
    <w:rsid w:val="00C365FD"/>
    <w:rsid w:val="00C427CE"/>
    <w:rsid w:val="00C429F4"/>
    <w:rsid w:val="00C47F57"/>
    <w:rsid w:val="00C54435"/>
    <w:rsid w:val="00C54D89"/>
    <w:rsid w:val="00C54F2B"/>
    <w:rsid w:val="00C65193"/>
    <w:rsid w:val="00C66A64"/>
    <w:rsid w:val="00C677E6"/>
    <w:rsid w:val="00C723AE"/>
    <w:rsid w:val="00C7691E"/>
    <w:rsid w:val="00C82E71"/>
    <w:rsid w:val="00C86A0F"/>
    <w:rsid w:val="00C96A79"/>
    <w:rsid w:val="00CA456F"/>
    <w:rsid w:val="00CB03DC"/>
    <w:rsid w:val="00CB5441"/>
    <w:rsid w:val="00CB6CD7"/>
    <w:rsid w:val="00CB7231"/>
    <w:rsid w:val="00CC1026"/>
    <w:rsid w:val="00CC48E6"/>
    <w:rsid w:val="00CC7B83"/>
    <w:rsid w:val="00CF2372"/>
    <w:rsid w:val="00CF68A1"/>
    <w:rsid w:val="00D05FE5"/>
    <w:rsid w:val="00D0623C"/>
    <w:rsid w:val="00D06880"/>
    <w:rsid w:val="00D21FA6"/>
    <w:rsid w:val="00D422F8"/>
    <w:rsid w:val="00D53F29"/>
    <w:rsid w:val="00D57025"/>
    <w:rsid w:val="00D61933"/>
    <w:rsid w:val="00D66300"/>
    <w:rsid w:val="00D731FE"/>
    <w:rsid w:val="00D7592F"/>
    <w:rsid w:val="00D768B5"/>
    <w:rsid w:val="00D83CD8"/>
    <w:rsid w:val="00D8605E"/>
    <w:rsid w:val="00D91890"/>
    <w:rsid w:val="00D96B94"/>
    <w:rsid w:val="00DA7F4F"/>
    <w:rsid w:val="00DC7415"/>
    <w:rsid w:val="00DD0C6E"/>
    <w:rsid w:val="00DD218A"/>
    <w:rsid w:val="00DD25FD"/>
    <w:rsid w:val="00DD4EB9"/>
    <w:rsid w:val="00DE7D74"/>
    <w:rsid w:val="00DF245B"/>
    <w:rsid w:val="00E240E9"/>
    <w:rsid w:val="00E26788"/>
    <w:rsid w:val="00E31AA8"/>
    <w:rsid w:val="00E365CE"/>
    <w:rsid w:val="00E406BA"/>
    <w:rsid w:val="00E4085E"/>
    <w:rsid w:val="00E52842"/>
    <w:rsid w:val="00E5415E"/>
    <w:rsid w:val="00E61A7B"/>
    <w:rsid w:val="00E622FC"/>
    <w:rsid w:val="00E655F2"/>
    <w:rsid w:val="00E7353C"/>
    <w:rsid w:val="00E74912"/>
    <w:rsid w:val="00E81B96"/>
    <w:rsid w:val="00E82B8A"/>
    <w:rsid w:val="00E874B1"/>
    <w:rsid w:val="00E87668"/>
    <w:rsid w:val="00EA6181"/>
    <w:rsid w:val="00EB0D8E"/>
    <w:rsid w:val="00ED15E8"/>
    <w:rsid w:val="00EE0A89"/>
    <w:rsid w:val="00EF1DA1"/>
    <w:rsid w:val="00EF3CC6"/>
    <w:rsid w:val="00EF6C77"/>
    <w:rsid w:val="00F0590F"/>
    <w:rsid w:val="00F116EC"/>
    <w:rsid w:val="00F1328D"/>
    <w:rsid w:val="00F139C0"/>
    <w:rsid w:val="00F14619"/>
    <w:rsid w:val="00F146B6"/>
    <w:rsid w:val="00F2295B"/>
    <w:rsid w:val="00F255F7"/>
    <w:rsid w:val="00F27D68"/>
    <w:rsid w:val="00F3589E"/>
    <w:rsid w:val="00F44E23"/>
    <w:rsid w:val="00F50C4C"/>
    <w:rsid w:val="00F524BA"/>
    <w:rsid w:val="00F55EFA"/>
    <w:rsid w:val="00F6591A"/>
    <w:rsid w:val="00F67C11"/>
    <w:rsid w:val="00F70DCE"/>
    <w:rsid w:val="00F80097"/>
    <w:rsid w:val="00F84D18"/>
    <w:rsid w:val="00F84DF9"/>
    <w:rsid w:val="00F87A39"/>
    <w:rsid w:val="00F87F75"/>
    <w:rsid w:val="00F91959"/>
    <w:rsid w:val="00F95145"/>
    <w:rsid w:val="00F97F05"/>
    <w:rsid w:val="00FA269F"/>
    <w:rsid w:val="00FB0645"/>
    <w:rsid w:val="00FB1478"/>
    <w:rsid w:val="00FB3FE4"/>
    <w:rsid w:val="00FB6D74"/>
    <w:rsid w:val="00FC4644"/>
    <w:rsid w:val="00FC5A59"/>
    <w:rsid w:val="00FE39F5"/>
    <w:rsid w:val="00FE7B78"/>
    <w:rsid w:val="00FF033D"/>
    <w:rsid w:val="00FF13C1"/>
    <w:rsid w:val="00FF2D5C"/>
    <w:rsid w:val="00FF5B4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13697A2"/>
  <w15:chartTrackingRefBased/>
  <w15:docId w15:val="{8F3CA979-9848-449B-88B6-7862D589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eastAsia="x-none"/>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F2295B"/>
    <w:pPr>
      <w:widowControl w:val="0"/>
    </w:pPr>
    <w:rPr>
      <w:sz w:val="22"/>
      <w:szCs w:val="22"/>
      <w:lang w:val="en-US" w:eastAsia="en-US"/>
    </w:rPr>
  </w:style>
  <w:style w:type="paragraph" w:styleId="NormalWeb">
    <w:name w:val="Normal (Web)"/>
    <w:basedOn w:val="Normal"/>
    <w:rsid w:val="00AA2ECA"/>
    <w:pPr>
      <w:widowControl/>
      <w:spacing w:before="100" w:beforeAutospacing="1" w:after="100" w:afterAutospacing="1" w:line="240" w:lineRule="auto"/>
    </w:pPr>
    <w:rPr>
      <w:rFonts w:ascii="Verdana" w:eastAsia="Times New Roman" w:hAnsi="Verdana"/>
      <w:color w:val="333333"/>
      <w:sz w:val="20"/>
      <w:szCs w:val="20"/>
      <w:lang w:val="lv-LV" w:eastAsia="lv-LV"/>
    </w:rPr>
  </w:style>
  <w:style w:type="paragraph" w:styleId="BodyText">
    <w:name w:val="Body Text"/>
    <w:basedOn w:val="Normal"/>
    <w:link w:val="BodyTextChar"/>
    <w:rsid w:val="00AA2ECA"/>
    <w:pPr>
      <w:widowControl/>
      <w:spacing w:after="120" w:line="240" w:lineRule="auto"/>
    </w:pPr>
    <w:rPr>
      <w:rFonts w:ascii="RimTimes" w:eastAsia="Times New Roman" w:hAnsi="RimTimes"/>
      <w:sz w:val="24"/>
      <w:szCs w:val="20"/>
      <w:lang w:val="x-none"/>
    </w:rPr>
  </w:style>
  <w:style w:type="character" w:customStyle="1" w:styleId="BodyTextChar">
    <w:name w:val="Body Text Char"/>
    <w:link w:val="BodyText"/>
    <w:rsid w:val="00AA2ECA"/>
    <w:rPr>
      <w:rFonts w:ascii="RimTimes" w:eastAsia="Times New Roman" w:hAnsi="RimTimes"/>
      <w:sz w:val="24"/>
      <w:lang w:eastAsia="en-US"/>
    </w:rPr>
  </w:style>
  <w:style w:type="character" w:customStyle="1" w:styleId="apple-converted-space">
    <w:name w:val="apple-converted-space"/>
    <w:basedOn w:val="DefaultParagraphFont"/>
    <w:rsid w:val="00463D57"/>
  </w:style>
  <w:style w:type="table" w:styleId="TableGrid">
    <w:name w:val="Table Grid"/>
    <w:basedOn w:val="TableNormal"/>
    <w:uiPriority w:val="59"/>
    <w:rsid w:val="001D4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68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6880"/>
    <w:rPr>
      <w:lang w:val="en-US" w:eastAsia="en-US"/>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r"/>
    <w:basedOn w:val="DefaultParagraphFont"/>
    <w:link w:val="CharCharCharChar"/>
    <w:uiPriority w:val="99"/>
    <w:unhideWhenUsed/>
    <w:qFormat/>
    <w:rsid w:val="00D06880"/>
    <w:rPr>
      <w:vertAlign w:val="superscript"/>
    </w:rPr>
  </w:style>
  <w:style w:type="paragraph" w:customStyle="1" w:styleId="CharCharCharChar">
    <w:name w:val="Char Char Char Char"/>
    <w:aliases w:val="Char2"/>
    <w:basedOn w:val="Normal"/>
    <w:next w:val="Normal"/>
    <w:link w:val="FootnoteReference"/>
    <w:uiPriority w:val="99"/>
    <w:rsid w:val="00D06880"/>
    <w:pPr>
      <w:widowControl/>
      <w:spacing w:after="160" w:line="240" w:lineRule="exact"/>
      <w:jc w:val="both"/>
      <w:textAlignment w:val="baseline"/>
    </w:pPr>
    <w:rPr>
      <w:sz w:val="20"/>
      <w:szCs w:val="20"/>
      <w:vertAlign w:val="superscript"/>
      <w:lang w:val="lv-LV" w:eastAsia="lv-LV"/>
    </w:rPr>
  </w:style>
  <w:style w:type="character" w:styleId="UnresolvedMention">
    <w:name w:val="Unresolved Mention"/>
    <w:basedOn w:val="DefaultParagraphFont"/>
    <w:uiPriority w:val="99"/>
    <w:semiHidden/>
    <w:unhideWhenUsed/>
    <w:rsid w:val="00D06880"/>
    <w:rPr>
      <w:color w:val="605E5C"/>
      <w:shd w:val="clear" w:color="auto" w:fill="E1DFDD"/>
    </w:rPr>
  </w:style>
  <w:style w:type="paragraph" w:styleId="ListParagraph">
    <w:name w:val="List Paragraph"/>
    <w:basedOn w:val="Normal"/>
    <w:uiPriority w:val="34"/>
    <w:qFormat/>
    <w:rsid w:val="00163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lvceli@lvceli.lv" TargetMode="External" /><Relationship Id="rId7" Type="http://schemas.openxmlformats.org/officeDocument/2006/relationships/hyperlink" Target="https://likumi.lv/doc.php?id=51522" TargetMode="External" /><Relationship Id="rId8" Type="http://schemas.openxmlformats.org/officeDocument/2006/relationships/footer" Target="footer1.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D6F87-323F-45B0-9973-ABCAAE6A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4727</Words>
  <Characters>2695</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Līcīte</dc:creator>
  <cp:lastModifiedBy>Armands Veliks</cp:lastModifiedBy>
  <cp:revision>6</cp:revision>
  <cp:lastPrinted>2015-08-31T11:51:00Z</cp:lastPrinted>
  <dcterms:created xsi:type="dcterms:W3CDTF">2025-02-13T10:22:00Z</dcterms:created>
  <dcterms:modified xsi:type="dcterms:W3CDTF">2026-01-12T12:52:00Z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